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B13" w:rsidRDefault="00FB7B13">
      <w:pPr>
        <w:rPr>
          <w:b/>
          <w:sz w:val="28"/>
          <w:lang w:val="af-ZA"/>
        </w:rPr>
      </w:pPr>
      <w:bookmarkStart w:id="0" w:name="_GoBack"/>
      <w:bookmarkEnd w:id="0"/>
      <w:r>
        <w:rPr>
          <w:b/>
          <w:sz w:val="28"/>
          <w:lang w:val="af-ZA"/>
        </w:rPr>
        <w:t>AANHANGSEL</w:t>
      </w:r>
    </w:p>
    <w:p w:rsidR="00FB7B13" w:rsidRDefault="00FB7B13">
      <w:pPr>
        <w:rPr>
          <w:b/>
          <w:sz w:val="28"/>
          <w:lang w:val="af-ZA"/>
        </w:rPr>
      </w:pPr>
    </w:p>
    <w:p w:rsidR="00FC1030" w:rsidRPr="00703D7C" w:rsidRDefault="00A74FC2">
      <w:pPr>
        <w:rPr>
          <w:b/>
          <w:sz w:val="28"/>
          <w:lang w:val="af-ZA"/>
        </w:rPr>
      </w:pPr>
      <w:r w:rsidRPr="00703D7C">
        <w:rPr>
          <w:b/>
          <w:sz w:val="28"/>
          <w:lang w:val="af-ZA"/>
        </w:rPr>
        <w:t>BEGROTING-VERWANTE BELEIDE VIR 201</w:t>
      </w:r>
      <w:r w:rsidR="00FB7B13">
        <w:rPr>
          <w:b/>
          <w:sz w:val="28"/>
          <w:lang w:val="af-ZA"/>
        </w:rPr>
        <w:t>6</w:t>
      </w:r>
      <w:r w:rsidRPr="00703D7C">
        <w:rPr>
          <w:b/>
          <w:sz w:val="28"/>
          <w:lang w:val="af-ZA"/>
        </w:rPr>
        <w:t>/1</w:t>
      </w:r>
      <w:r w:rsidR="00FB7B13">
        <w:rPr>
          <w:b/>
          <w:sz w:val="28"/>
          <w:lang w:val="af-ZA"/>
        </w:rPr>
        <w:t>7</w:t>
      </w:r>
    </w:p>
    <w:p w:rsidR="00A74FC2" w:rsidRPr="00703D7C" w:rsidRDefault="00A74FC2" w:rsidP="00A74FC2">
      <w:pPr>
        <w:jc w:val="both"/>
        <w:rPr>
          <w:sz w:val="24"/>
          <w:lang w:val="af-ZA"/>
        </w:rPr>
      </w:pPr>
      <w:r w:rsidRPr="00703D7C">
        <w:rPr>
          <w:sz w:val="24"/>
          <w:lang w:val="af-ZA"/>
        </w:rPr>
        <w:t>In terme van die begrotingsregulasies moet munisipaliteite jaarliks sekere begroting-verwante beleide nagaan en hersien, indien nodig.</w:t>
      </w:r>
      <w:r w:rsidR="00703D7C">
        <w:rPr>
          <w:sz w:val="24"/>
          <w:lang w:val="af-ZA"/>
        </w:rPr>
        <w:t xml:space="preserve"> (Vir oudit doeleindes word die aangeleentheid in Engels hanteer).</w:t>
      </w:r>
    </w:p>
    <w:p w:rsidR="00E20DAA" w:rsidRDefault="00E20DAA" w:rsidP="00A74FC2">
      <w:pPr>
        <w:jc w:val="both"/>
        <w:rPr>
          <w:sz w:val="24"/>
        </w:rPr>
      </w:pPr>
    </w:p>
    <w:p w:rsidR="00FB7B13" w:rsidRDefault="00FB7B13" w:rsidP="00A74FC2">
      <w:pPr>
        <w:jc w:val="both"/>
        <w:rPr>
          <w:sz w:val="24"/>
          <w:u w:val="single"/>
        </w:rPr>
      </w:pPr>
      <w:r>
        <w:rPr>
          <w:sz w:val="24"/>
          <w:u w:val="single"/>
        </w:rPr>
        <w:t>Policies required by the budget regulations to the MFMA</w:t>
      </w:r>
    </w:p>
    <w:p w:rsidR="00FB7B13" w:rsidRDefault="00FB7B13" w:rsidP="00A74FC2">
      <w:pPr>
        <w:jc w:val="both"/>
        <w:rPr>
          <w:sz w:val="24"/>
          <w:u w:val="single"/>
        </w:rPr>
      </w:pPr>
    </w:p>
    <w:tbl>
      <w:tblPr>
        <w:tblStyle w:val="TableGrid"/>
        <w:tblW w:w="0" w:type="auto"/>
        <w:tblLook w:val="04A0" w:firstRow="1" w:lastRow="0" w:firstColumn="1" w:lastColumn="0" w:noHBand="0" w:noVBand="1"/>
      </w:tblPr>
      <w:tblGrid>
        <w:gridCol w:w="6204"/>
        <w:gridCol w:w="3344"/>
      </w:tblGrid>
      <w:tr w:rsidR="00FB7B13" w:rsidRPr="00FB7B13" w:rsidTr="00FB7B13">
        <w:tc>
          <w:tcPr>
            <w:tcW w:w="6204" w:type="dxa"/>
          </w:tcPr>
          <w:p w:rsidR="00FB7B13" w:rsidRPr="00FB7B13" w:rsidRDefault="00FB7B13" w:rsidP="00FB17B6">
            <w:pPr>
              <w:jc w:val="both"/>
              <w:rPr>
                <w:b/>
                <w:sz w:val="24"/>
              </w:rPr>
            </w:pPr>
            <w:r>
              <w:rPr>
                <w:b/>
                <w:sz w:val="24"/>
              </w:rPr>
              <w:t>Description</w:t>
            </w:r>
          </w:p>
        </w:tc>
        <w:tc>
          <w:tcPr>
            <w:tcW w:w="3344" w:type="dxa"/>
          </w:tcPr>
          <w:p w:rsidR="00FB7B13" w:rsidRPr="00FB7B13" w:rsidRDefault="00FB7B13" w:rsidP="00FB17B6">
            <w:pPr>
              <w:jc w:val="both"/>
              <w:rPr>
                <w:sz w:val="24"/>
                <w:u w:val="single"/>
              </w:rPr>
            </w:pPr>
            <w:r w:rsidRPr="00FB7B13">
              <w:rPr>
                <w:sz w:val="24"/>
                <w:u w:val="single"/>
              </w:rPr>
              <w:t>Comments</w:t>
            </w:r>
          </w:p>
          <w:p w:rsidR="00FB7B13" w:rsidRPr="00FB7B13" w:rsidRDefault="00FB7B13" w:rsidP="00FB17B6">
            <w:pPr>
              <w:jc w:val="both"/>
              <w:rPr>
                <w:sz w:val="24"/>
                <w:u w:val="single"/>
              </w:rPr>
            </w:pPr>
          </w:p>
        </w:tc>
      </w:tr>
      <w:tr w:rsidR="00FB7B13" w:rsidRPr="00FB7B13" w:rsidTr="00FB7B13">
        <w:tc>
          <w:tcPr>
            <w:tcW w:w="6204" w:type="dxa"/>
          </w:tcPr>
          <w:p w:rsidR="00FB7B13" w:rsidRPr="00FB7B13" w:rsidRDefault="00FB7B13" w:rsidP="00FB17B6">
            <w:pPr>
              <w:jc w:val="both"/>
              <w:rPr>
                <w:sz w:val="24"/>
              </w:rPr>
            </w:pPr>
            <w:r w:rsidRPr="00FB7B13">
              <w:rPr>
                <w:sz w:val="24"/>
              </w:rPr>
              <w:t>(a) the tariffs policy which the municipality must adopt in terms of section 74 of the Municipal Systems Act;</w:t>
            </w:r>
          </w:p>
        </w:tc>
        <w:tc>
          <w:tcPr>
            <w:tcW w:w="3344" w:type="dxa"/>
          </w:tcPr>
          <w:p w:rsidR="00FB7B13" w:rsidRPr="0096500C" w:rsidRDefault="0096500C" w:rsidP="00FB17B6">
            <w:pPr>
              <w:jc w:val="both"/>
              <w:rPr>
                <w:sz w:val="24"/>
              </w:rPr>
            </w:pPr>
            <w:r w:rsidRPr="0096500C">
              <w:rPr>
                <w:sz w:val="24"/>
              </w:rPr>
              <w:t>Revised</w:t>
            </w:r>
          </w:p>
        </w:tc>
      </w:tr>
      <w:tr w:rsidR="00FB7B13" w:rsidRPr="00FB7B13" w:rsidTr="00FB7B13">
        <w:tc>
          <w:tcPr>
            <w:tcW w:w="6204" w:type="dxa"/>
          </w:tcPr>
          <w:p w:rsidR="00FB7B13" w:rsidRPr="00FB7B13" w:rsidRDefault="00FB7B13" w:rsidP="00FB17B6">
            <w:pPr>
              <w:jc w:val="both"/>
              <w:rPr>
                <w:sz w:val="24"/>
              </w:rPr>
            </w:pPr>
            <w:r w:rsidRPr="00FB7B13">
              <w:rPr>
                <w:sz w:val="24"/>
              </w:rPr>
              <w:t>(b) the rates policy which the municipality must adopt in terms of section 3 of the Municipal Property Rates Act;</w:t>
            </w:r>
          </w:p>
        </w:tc>
        <w:tc>
          <w:tcPr>
            <w:tcW w:w="3344" w:type="dxa"/>
          </w:tcPr>
          <w:p w:rsidR="00FB7B13" w:rsidRPr="0096500C" w:rsidRDefault="0096500C" w:rsidP="00FB17B6">
            <w:pPr>
              <w:jc w:val="both"/>
              <w:rPr>
                <w:sz w:val="24"/>
              </w:rPr>
            </w:pPr>
            <w:r>
              <w:rPr>
                <w:sz w:val="24"/>
              </w:rPr>
              <w:t>Revised</w:t>
            </w:r>
          </w:p>
        </w:tc>
      </w:tr>
      <w:tr w:rsidR="00FB7B13" w:rsidRPr="00FB7B13" w:rsidTr="00FB7B13">
        <w:tc>
          <w:tcPr>
            <w:tcW w:w="6204" w:type="dxa"/>
          </w:tcPr>
          <w:p w:rsidR="00FB7B13" w:rsidRPr="00FB7B13" w:rsidRDefault="00FB7B13" w:rsidP="00FB17B6">
            <w:pPr>
              <w:jc w:val="both"/>
              <w:rPr>
                <w:sz w:val="24"/>
              </w:rPr>
            </w:pPr>
            <w:r w:rsidRPr="00FB7B13">
              <w:rPr>
                <w:sz w:val="24"/>
              </w:rPr>
              <w:t>(c) the credit control and debt collection policy which the municipality must adopt in terms of section 96 of the Municipal Systems Act;</w:t>
            </w:r>
          </w:p>
        </w:tc>
        <w:tc>
          <w:tcPr>
            <w:tcW w:w="3344" w:type="dxa"/>
          </w:tcPr>
          <w:p w:rsidR="00FB7B13" w:rsidRPr="00B3550C" w:rsidRDefault="00B3550C" w:rsidP="00FB17B6">
            <w:pPr>
              <w:jc w:val="both"/>
              <w:rPr>
                <w:sz w:val="24"/>
              </w:rPr>
            </w:pPr>
            <w:r w:rsidRPr="00B3550C">
              <w:rPr>
                <w:sz w:val="24"/>
              </w:rPr>
              <w:t>Revised</w:t>
            </w:r>
          </w:p>
        </w:tc>
      </w:tr>
      <w:tr w:rsidR="00FB7B13" w:rsidRPr="00FB7B13" w:rsidTr="00FB7B13">
        <w:tc>
          <w:tcPr>
            <w:tcW w:w="6204" w:type="dxa"/>
          </w:tcPr>
          <w:p w:rsidR="00FB7B13" w:rsidRPr="00FB7B13" w:rsidRDefault="00FB7B13" w:rsidP="00FB17B6">
            <w:pPr>
              <w:jc w:val="both"/>
              <w:rPr>
                <w:sz w:val="24"/>
              </w:rPr>
            </w:pPr>
            <w:r w:rsidRPr="00FB7B13">
              <w:rPr>
                <w:sz w:val="24"/>
              </w:rPr>
              <w:t>(d) the cash management and investment policy which the municipality must adopt in terms of section 13(2) of the Act;</w:t>
            </w:r>
          </w:p>
        </w:tc>
        <w:tc>
          <w:tcPr>
            <w:tcW w:w="3344" w:type="dxa"/>
          </w:tcPr>
          <w:p w:rsidR="00FB7B13" w:rsidRPr="00955104" w:rsidRDefault="00955104" w:rsidP="00FB17B6">
            <w:pPr>
              <w:jc w:val="both"/>
              <w:rPr>
                <w:sz w:val="24"/>
              </w:rPr>
            </w:pPr>
            <w:r w:rsidRPr="00955104">
              <w:rPr>
                <w:sz w:val="24"/>
              </w:rPr>
              <w:t>Revised</w:t>
            </w:r>
          </w:p>
        </w:tc>
      </w:tr>
      <w:tr w:rsidR="00FB7B13" w:rsidRPr="00FB7B13" w:rsidTr="00FB7B13">
        <w:tc>
          <w:tcPr>
            <w:tcW w:w="6204" w:type="dxa"/>
          </w:tcPr>
          <w:p w:rsidR="00FB7B13" w:rsidRPr="00FB7B13" w:rsidRDefault="00FB7B13" w:rsidP="00FB17B6">
            <w:pPr>
              <w:jc w:val="both"/>
              <w:rPr>
                <w:sz w:val="24"/>
              </w:rPr>
            </w:pPr>
            <w:r w:rsidRPr="00FB7B13">
              <w:rPr>
                <w:sz w:val="24"/>
              </w:rPr>
              <w:t>(e) a borrowing policy which must comply with Chapter 6 of the Act;</w:t>
            </w:r>
          </w:p>
        </w:tc>
        <w:tc>
          <w:tcPr>
            <w:tcW w:w="3344" w:type="dxa"/>
          </w:tcPr>
          <w:p w:rsidR="00FB7B13" w:rsidRPr="00FB7B13" w:rsidRDefault="00E6032B" w:rsidP="00FB17B6">
            <w:pPr>
              <w:jc w:val="both"/>
              <w:rPr>
                <w:sz w:val="24"/>
                <w:u w:val="single"/>
              </w:rPr>
            </w:pPr>
            <w:r w:rsidRPr="00955104">
              <w:rPr>
                <w:sz w:val="24"/>
              </w:rPr>
              <w:t>Revised</w:t>
            </w:r>
          </w:p>
        </w:tc>
      </w:tr>
      <w:tr w:rsidR="00FB7B13" w:rsidRPr="00FB7B13" w:rsidTr="00FB7B13">
        <w:tc>
          <w:tcPr>
            <w:tcW w:w="6204" w:type="dxa"/>
          </w:tcPr>
          <w:p w:rsidR="00FB7B13" w:rsidRPr="00FB7B13" w:rsidRDefault="00FB7B13" w:rsidP="00FB17B6">
            <w:pPr>
              <w:jc w:val="both"/>
              <w:rPr>
                <w:sz w:val="24"/>
              </w:rPr>
            </w:pPr>
            <w:r w:rsidRPr="00FB7B13">
              <w:rPr>
                <w:sz w:val="24"/>
              </w:rPr>
              <w:t>(f) a funding and reserves policy;</w:t>
            </w:r>
          </w:p>
        </w:tc>
        <w:tc>
          <w:tcPr>
            <w:tcW w:w="3344" w:type="dxa"/>
          </w:tcPr>
          <w:p w:rsidR="00FB7B13" w:rsidRPr="00FB7B13" w:rsidRDefault="003343DF" w:rsidP="00FB17B6">
            <w:pPr>
              <w:jc w:val="both"/>
              <w:rPr>
                <w:sz w:val="24"/>
                <w:u w:val="single"/>
              </w:rPr>
            </w:pPr>
            <w:r w:rsidRPr="00955104">
              <w:rPr>
                <w:sz w:val="24"/>
              </w:rPr>
              <w:t>Revised</w:t>
            </w:r>
          </w:p>
        </w:tc>
      </w:tr>
      <w:tr w:rsidR="00FB7B13" w:rsidRPr="00FB7B13" w:rsidTr="00FB7B13">
        <w:tc>
          <w:tcPr>
            <w:tcW w:w="6204" w:type="dxa"/>
          </w:tcPr>
          <w:p w:rsidR="00FB7B13" w:rsidRPr="00FB7B13" w:rsidRDefault="00FB7B13" w:rsidP="00FB17B6">
            <w:pPr>
              <w:jc w:val="both"/>
              <w:rPr>
                <w:sz w:val="24"/>
              </w:rPr>
            </w:pPr>
            <w:r w:rsidRPr="00FB7B13">
              <w:rPr>
                <w:sz w:val="24"/>
              </w:rPr>
              <w:t>(g) a policy related to the long-term financial plan;</w:t>
            </w:r>
          </w:p>
        </w:tc>
        <w:tc>
          <w:tcPr>
            <w:tcW w:w="3344" w:type="dxa"/>
          </w:tcPr>
          <w:p w:rsidR="00FB7B13" w:rsidRPr="007E4C2A" w:rsidRDefault="007E4C2A" w:rsidP="00FB17B6">
            <w:pPr>
              <w:jc w:val="both"/>
              <w:rPr>
                <w:b/>
                <w:sz w:val="24"/>
                <w:u w:val="single"/>
              </w:rPr>
            </w:pPr>
            <w:r>
              <w:rPr>
                <w:b/>
                <w:sz w:val="24"/>
                <w:u w:val="single"/>
              </w:rPr>
              <w:t>New Policy</w:t>
            </w:r>
          </w:p>
        </w:tc>
      </w:tr>
      <w:tr w:rsidR="00FB7B13" w:rsidRPr="00FB7B13" w:rsidTr="00FB7B13">
        <w:tc>
          <w:tcPr>
            <w:tcW w:w="6204" w:type="dxa"/>
          </w:tcPr>
          <w:p w:rsidR="00FB7B13" w:rsidRPr="00FB7B13" w:rsidRDefault="00FB7B13" w:rsidP="00FB17B6">
            <w:pPr>
              <w:jc w:val="both"/>
              <w:rPr>
                <w:sz w:val="24"/>
              </w:rPr>
            </w:pPr>
            <w:r w:rsidRPr="00FB7B13">
              <w:rPr>
                <w:sz w:val="24"/>
              </w:rPr>
              <w:t>(h) the supply chain management policy which the municipality is required to adopt in terms of section 111 of the Act;</w:t>
            </w:r>
          </w:p>
        </w:tc>
        <w:tc>
          <w:tcPr>
            <w:tcW w:w="3344" w:type="dxa"/>
          </w:tcPr>
          <w:p w:rsidR="00FB7B13" w:rsidRPr="00CA056E" w:rsidRDefault="00CA056E" w:rsidP="00FB17B6">
            <w:pPr>
              <w:jc w:val="both"/>
              <w:rPr>
                <w:sz w:val="24"/>
              </w:rPr>
            </w:pPr>
            <w:r w:rsidRPr="00CA056E">
              <w:rPr>
                <w:sz w:val="24"/>
              </w:rPr>
              <w:t>Revised</w:t>
            </w:r>
          </w:p>
        </w:tc>
      </w:tr>
      <w:tr w:rsidR="00FB7B13" w:rsidRPr="00FB7B13" w:rsidTr="00FB7B13">
        <w:tc>
          <w:tcPr>
            <w:tcW w:w="6204" w:type="dxa"/>
          </w:tcPr>
          <w:p w:rsidR="00FB7B13" w:rsidRPr="00FB7B13" w:rsidRDefault="00FB7B13" w:rsidP="00FB17B6">
            <w:pPr>
              <w:jc w:val="both"/>
              <w:rPr>
                <w:sz w:val="24"/>
              </w:rPr>
            </w:pPr>
            <w:r w:rsidRPr="00FB7B13">
              <w:rPr>
                <w:sz w:val="24"/>
              </w:rPr>
              <w:t>(</w:t>
            </w:r>
            <w:proofErr w:type="spellStart"/>
            <w:r w:rsidRPr="00FB7B13">
              <w:rPr>
                <w:sz w:val="24"/>
              </w:rPr>
              <w:t>i</w:t>
            </w:r>
            <w:proofErr w:type="spellEnd"/>
            <w:r w:rsidRPr="00FB7B13">
              <w:rPr>
                <w:sz w:val="24"/>
              </w:rPr>
              <w:t>) any policies dealing with the management and disposal of assets;</w:t>
            </w:r>
          </w:p>
        </w:tc>
        <w:tc>
          <w:tcPr>
            <w:tcW w:w="3344" w:type="dxa"/>
          </w:tcPr>
          <w:p w:rsidR="00FB7B13" w:rsidRPr="00EC6711" w:rsidRDefault="00EC6711" w:rsidP="00FB17B6">
            <w:pPr>
              <w:jc w:val="both"/>
              <w:rPr>
                <w:sz w:val="24"/>
              </w:rPr>
            </w:pPr>
            <w:r>
              <w:rPr>
                <w:sz w:val="24"/>
              </w:rPr>
              <w:t>Revised</w:t>
            </w:r>
          </w:p>
        </w:tc>
      </w:tr>
      <w:tr w:rsidR="00FB7B13" w:rsidRPr="00FB7B13" w:rsidTr="00FB7B13">
        <w:tc>
          <w:tcPr>
            <w:tcW w:w="6204" w:type="dxa"/>
            <w:tcBorders>
              <w:bottom w:val="nil"/>
            </w:tcBorders>
          </w:tcPr>
          <w:p w:rsidR="00FB7B13" w:rsidRPr="00FB7B13" w:rsidRDefault="00FB7B13" w:rsidP="00FB17B6">
            <w:pPr>
              <w:jc w:val="both"/>
              <w:rPr>
                <w:sz w:val="24"/>
              </w:rPr>
            </w:pPr>
            <w:r w:rsidRPr="00FB7B13">
              <w:rPr>
                <w:sz w:val="24"/>
              </w:rPr>
              <w:t>(j) any policies dealing with infrastructure investment and capital projects, including</w:t>
            </w:r>
          </w:p>
        </w:tc>
        <w:tc>
          <w:tcPr>
            <w:tcW w:w="3344" w:type="dxa"/>
            <w:tcBorders>
              <w:bottom w:val="nil"/>
            </w:tcBorders>
          </w:tcPr>
          <w:p w:rsidR="00FB7B13" w:rsidRPr="00FB7B13" w:rsidRDefault="00FB7B13" w:rsidP="00FB17B6">
            <w:pPr>
              <w:jc w:val="both"/>
              <w:rPr>
                <w:sz w:val="24"/>
                <w:u w:val="single"/>
              </w:rPr>
            </w:pPr>
          </w:p>
        </w:tc>
      </w:tr>
      <w:tr w:rsidR="00FB7B13" w:rsidRPr="00FB7B13" w:rsidTr="00FB7B13">
        <w:tc>
          <w:tcPr>
            <w:tcW w:w="6204" w:type="dxa"/>
            <w:tcBorders>
              <w:top w:val="nil"/>
              <w:bottom w:val="nil"/>
              <w:right w:val="single" w:sz="4" w:space="0" w:color="auto"/>
            </w:tcBorders>
          </w:tcPr>
          <w:p w:rsidR="00FB7B13" w:rsidRPr="00FB7B13" w:rsidRDefault="00FB7B13" w:rsidP="00FB17B6">
            <w:pPr>
              <w:jc w:val="both"/>
              <w:rPr>
                <w:sz w:val="24"/>
              </w:rPr>
            </w:pPr>
            <w:r w:rsidRPr="00FB7B13">
              <w:rPr>
                <w:sz w:val="24"/>
              </w:rPr>
              <w:t>(</w:t>
            </w:r>
            <w:proofErr w:type="spellStart"/>
            <w:r w:rsidRPr="00FB7B13">
              <w:rPr>
                <w:sz w:val="24"/>
              </w:rPr>
              <w:t>i</w:t>
            </w:r>
            <w:proofErr w:type="spellEnd"/>
            <w:r w:rsidRPr="00FB7B13">
              <w:rPr>
                <w:sz w:val="24"/>
              </w:rPr>
              <w:t>) the policy governing the planning and approval of capital projects; and</w:t>
            </w:r>
          </w:p>
        </w:tc>
        <w:tc>
          <w:tcPr>
            <w:tcW w:w="3344" w:type="dxa"/>
            <w:tcBorders>
              <w:top w:val="nil"/>
              <w:left w:val="single" w:sz="4" w:space="0" w:color="auto"/>
              <w:bottom w:val="nil"/>
            </w:tcBorders>
          </w:tcPr>
          <w:p w:rsidR="00FB7B13" w:rsidRPr="00BC1901" w:rsidRDefault="00B3550C" w:rsidP="00FB17B6">
            <w:pPr>
              <w:jc w:val="both"/>
              <w:rPr>
                <w:sz w:val="24"/>
              </w:rPr>
            </w:pPr>
            <w:r w:rsidRPr="00BC1901">
              <w:rPr>
                <w:sz w:val="24"/>
              </w:rPr>
              <w:t>Included in asset man policy</w:t>
            </w:r>
            <w:r w:rsidR="00BC1901" w:rsidRPr="00BC1901">
              <w:rPr>
                <w:sz w:val="24"/>
              </w:rPr>
              <w:t xml:space="preserve"> section 16</w:t>
            </w:r>
          </w:p>
        </w:tc>
      </w:tr>
      <w:tr w:rsidR="00FB7B13" w:rsidRPr="00FB7B13" w:rsidTr="00FB7B13">
        <w:tc>
          <w:tcPr>
            <w:tcW w:w="6204" w:type="dxa"/>
            <w:tcBorders>
              <w:top w:val="nil"/>
              <w:right w:val="single" w:sz="4" w:space="0" w:color="auto"/>
            </w:tcBorders>
          </w:tcPr>
          <w:p w:rsidR="00FB7B13" w:rsidRPr="00FB7B13" w:rsidRDefault="00FB7B13" w:rsidP="00FB17B6">
            <w:pPr>
              <w:jc w:val="both"/>
              <w:rPr>
                <w:sz w:val="24"/>
              </w:rPr>
            </w:pPr>
            <w:r w:rsidRPr="00FB7B13">
              <w:rPr>
                <w:sz w:val="24"/>
              </w:rPr>
              <w:t>(ii) the policy on developer contributions for property developments;</w:t>
            </w:r>
          </w:p>
        </w:tc>
        <w:tc>
          <w:tcPr>
            <w:tcW w:w="3344" w:type="dxa"/>
            <w:tcBorders>
              <w:top w:val="nil"/>
              <w:left w:val="single" w:sz="4" w:space="0" w:color="auto"/>
            </w:tcBorders>
          </w:tcPr>
          <w:p w:rsidR="00FB7B13" w:rsidRPr="00985899" w:rsidRDefault="00985899" w:rsidP="00FB17B6">
            <w:pPr>
              <w:jc w:val="both"/>
              <w:rPr>
                <w:sz w:val="24"/>
              </w:rPr>
            </w:pPr>
            <w:r>
              <w:rPr>
                <w:sz w:val="24"/>
              </w:rPr>
              <w:t>Separate policy</w:t>
            </w:r>
          </w:p>
        </w:tc>
      </w:tr>
      <w:tr w:rsidR="00FB7B13" w:rsidRPr="00FB7B13" w:rsidTr="00FB7B13">
        <w:tc>
          <w:tcPr>
            <w:tcW w:w="6204" w:type="dxa"/>
          </w:tcPr>
          <w:p w:rsidR="00FB7B13" w:rsidRPr="00FB7B13" w:rsidRDefault="00FB7B13" w:rsidP="00FB17B6">
            <w:pPr>
              <w:jc w:val="both"/>
              <w:rPr>
                <w:sz w:val="24"/>
              </w:rPr>
            </w:pPr>
            <w:r w:rsidRPr="00FB7B13">
              <w:rPr>
                <w:sz w:val="24"/>
              </w:rPr>
              <w:t>(k) the indigents policy of the municipality;</w:t>
            </w:r>
          </w:p>
        </w:tc>
        <w:tc>
          <w:tcPr>
            <w:tcW w:w="3344" w:type="dxa"/>
          </w:tcPr>
          <w:p w:rsidR="00FB7B13" w:rsidRPr="00123D4D" w:rsidRDefault="00123D4D" w:rsidP="00FB17B6">
            <w:pPr>
              <w:jc w:val="both"/>
              <w:rPr>
                <w:sz w:val="24"/>
              </w:rPr>
            </w:pPr>
            <w:r w:rsidRPr="00123D4D">
              <w:rPr>
                <w:sz w:val="24"/>
              </w:rPr>
              <w:t>Revised</w:t>
            </w:r>
          </w:p>
        </w:tc>
      </w:tr>
      <w:tr w:rsidR="00FB7B13" w:rsidRPr="00FB7B13" w:rsidTr="00FB7B13">
        <w:tc>
          <w:tcPr>
            <w:tcW w:w="6204" w:type="dxa"/>
          </w:tcPr>
          <w:p w:rsidR="00FB7B13" w:rsidRPr="00FB7B13" w:rsidRDefault="00FB7B13" w:rsidP="00FB17B6">
            <w:pPr>
              <w:jc w:val="both"/>
              <w:rPr>
                <w:sz w:val="24"/>
              </w:rPr>
            </w:pPr>
            <w:r w:rsidRPr="00FB7B13">
              <w:rPr>
                <w:sz w:val="24"/>
              </w:rPr>
              <w:t>(l) any policies related to the provision of free basic services;</w:t>
            </w:r>
          </w:p>
        </w:tc>
        <w:tc>
          <w:tcPr>
            <w:tcW w:w="3344" w:type="dxa"/>
          </w:tcPr>
          <w:p w:rsidR="00FB7B13" w:rsidRPr="00F64AD1" w:rsidRDefault="00F64AD1" w:rsidP="00FB17B6">
            <w:pPr>
              <w:jc w:val="both"/>
              <w:rPr>
                <w:sz w:val="24"/>
              </w:rPr>
            </w:pPr>
            <w:r w:rsidRPr="00F64AD1">
              <w:rPr>
                <w:sz w:val="24"/>
              </w:rPr>
              <w:t>Included in tariff and indigent policies</w:t>
            </w:r>
          </w:p>
        </w:tc>
      </w:tr>
      <w:tr w:rsidR="00FB7B13" w:rsidRPr="00FB7B13" w:rsidTr="00757B34">
        <w:tc>
          <w:tcPr>
            <w:tcW w:w="6204" w:type="dxa"/>
            <w:tcBorders>
              <w:bottom w:val="single" w:sz="4" w:space="0" w:color="auto"/>
            </w:tcBorders>
          </w:tcPr>
          <w:p w:rsidR="00FB7B13" w:rsidRPr="00FB7B13" w:rsidRDefault="00FB7B13" w:rsidP="00FB17B6">
            <w:pPr>
              <w:jc w:val="both"/>
              <w:rPr>
                <w:sz w:val="24"/>
              </w:rPr>
            </w:pPr>
            <w:r w:rsidRPr="00FB7B13">
              <w:rPr>
                <w:sz w:val="24"/>
              </w:rPr>
              <w:t>(m) any policies related to budget implementation and monitoring including:</w:t>
            </w:r>
          </w:p>
        </w:tc>
        <w:tc>
          <w:tcPr>
            <w:tcW w:w="3344" w:type="dxa"/>
            <w:tcBorders>
              <w:bottom w:val="single" w:sz="4" w:space="0" w:color="auto"/>
            </w:tcBorders>
          </w:tcPr>
          <w:p w:rsidR="00FB7B13" w:rsidRPr="00123D4D" w:rsidRDefault="00123D4D" w:rsidP="00FB17B6">
            <w:pPr>
              <w:jc w:val="both"/>
              <w:rPr>
                <w:sz w:val="24"/>
              </w:rPr>
            </w:pPr>
            <w:r w:rsidRPr="00123D4D">
              <w:rPr>
                <w:sz w:val="24"/>
              </w:rPr>
              <w:t>Budget policy</w:t>
            </w:r>
          </w:p>
        </w:tc>
      </w:tr>
      <w:tr w:rsidR="00FB7B13" w:rsidRPr="00FB7B13" w:rsidTr="00757B34">
        <w:tc>
          <w:tcPr>
            <w:tcW w:w="6204" w:type="dxa"/>
            <w:tcBorders>
              <w:bottom w:val="nil"/>
            </w:tcBorders>
          </w:tcPr>
          <w:p w:rsidR="00FB7B13" w:rsidRPr="00FB7B13" w:rsidRDefault="00FB7B13" w:rsidP="00FB17B6">
            <w:pPr>
              <w:jc w:val="both"/>
              <w:rPr>
                <w:sz w:val="24"/>
              </w:rPr>
            </w:pPr>
            <w:r w:rsidRPr="00FB7B13">
              <w:rPr>
                <w:sz w:val="24"/>
              </w:rPr>
              <w:lastRenderedPageBreak/>
              <w:t>(</w:t>
            </w:r>
            <w:proofErr w:type="spellStart"/>
            <w:r w:rsidRPr="00FB7B13">
              <w:rPr>
                <w:sz w:val="24"/>
              </w:rPr>
              <w:t>i</w:t>
            </w:r>
            <w:proofErr w:type="spellEnd"/>
            <w:r w:rsidRPr="00FB7B13">
              <w:rPr>
                <w:sz w:val="24"/>
              </w:rPr>
              <w:t>) a policy dealing with the shifting of funds within votes;</w:t>
            </w:r>
          </w:p>
        </w:tc>
        <w:tc>
          <w:tcPr>
            <w:tcW w:w="3344" w:type="dxa"/>
            <w:tcBorders>
              <w:bottom w:val="nil"/>
            </w:tcBorders>
          </w:tcPr>
          <w:p w:rsidR="00FB7B13" w:rsidRPr="00FB7B13" w:rsidRDefault="00BE3F33" w:rsidP="00FB17B6">
            <w:pPr>
              <w:jc w:val="both"/>
              <w:rPr>
                <w:sz w:val="24"/>
                <w:u w:val="single"/>
              </w:rPr>
            </w:pPr>
            <w:r>
              <w:rPr>
                <w:sz w:val="24"/>
              </w:rPr>
              <w:t>Budget policy section 6.1</w:t>
            </w:r>
          </w:p>
        </w:tc>
      </w:tr>
      <w:tr w:rsidR="00FB7B13" w:rsidRPr="00FB7B13" w:rsidTr="00757B34">
        <w:tc>
          <w:tcPr>
            <w:tcW w:w="6204" w:type="dxa"/>
            <w:tcBorders>
              <w:top w:val="nil"/>
              <w:bottom w:val="nil"/>
            </w:tcBorders>
          </w:tcPr>
          <w:p w:rsidR="00FB7B13" w:rsidRPr="00FB7B13" w:rsidRDefault="00FB7B13" w:rsidP="00FB17B6">
            <w:pPr>
              <w:jc w:val="both"/>
              <w:rPr>
                <w:sz w:val="24"/>
              </w:rPr>
            </w:pPr>
            <w:r w:rsidRPr="00FB7B13">
              <w:rPr>
                <w:sz w:val="24"/>
              </w:rPr>
              <w:t>(ii) a policy dealing with the introduction of adjustments budgets;</w:t>
            </w:r>
          </w:p>
        </w:tc>
        <w:tc>
          <w:tcPr>
            <w:tcW w:w="3344" w:type="dxa"/>
            <w:tcBorders>
              <w:top w:val="nil"/>
              <w:bottom w:val="nil"/>
            </w:tcBorders>
          </w:tcPr>
          <w:p w:rsidR="00FB7B13" w:rsidRPr="00123D4D" w:rsidRDefault="00BE3F33" w:rsidP="00FB17B6">
            <w:pPr>
              <w:jc w:val="both"/>
              <w:rPr>
                <w:sz w:val="24"/>
              </w:rPr>
            </w:pPr>
            <w:r>
              <w:rPr>
                <w:sz w:val="24"/>
              </w:rPr>
              <w:t>Budget policy section 6.3</w:t>
            </w:r>
          </w:p>
        </w:tc>
      </w:tr>
      <w:tr w:rsidR="00FB7B13" w:rsidRPr="00FB7B13" w:rsidTr="00757B34">
        <w:tc>
          <w:tcPr>
            <w:tcW w:w="6204" w:type="dxa"/>
            <w:tcBorders>
              <w:top w:val="nil"/>
              <w:bottom w:val="nil"/>
            </w:tcBorders>
          </w:tcPr>
          <w:p w:rsidR="00FB7B13" w:rsidRPr="00FB7B13" w:rsidRDefault="00FB7B13" w:rsidP="00FB17B6">
            <w:pPr>
              <w:jc w:val="both"/>
              <w:rPr>
                <w:sz w:val="24"/>
              </w:rPr>
            </w:pPr>
            <w:r w:rsidRPr="00FB7B13">
              <w:rPr>
                <w:sz w:val="24"/>
              </w:rPr>
              <w:t>(ii) policies dealing with unforeseen and unavoidable expenditure; and</w:t>
            </w:r>
          </w:p>
        </w:tc>
        <w:tc>
          <w:tcPr>
            <w:tcW w:w="3344" w:type="dxa"/>
            <w:tcBorders>
              <w:top w:val="nil"/>
              <w:bottom w:val="nil"/>
            </w:tcBorders>
          </w:tcPr>
          <w:p w:rsidR="00FB7B13" w:rsidRPr="00FB7B13" w:rsidRDefault="00BE3F33" w:rsidP="00FB17B6">
            <w:pPr>
              <w:jc w:val="both"/>
              <w:rPr>
                <w:sz w:val="24"/>
                <w:u w:val="single"/>
              </w:rPr>
            </w:pPr>
            <w:r>
              <w:rPr>
                <w:sz w:val="24"/>
              </w:rPr>
              <w:t>Budget policy section 6.2</w:t>
            </w:r>
          </w:p>
        </w:tc>
      </w:tr>
      <w:tr w:rsidR="00FB7B13" w:rsidRPr="00FB7B13" w:rsidTr="00123D4D">
        <w:tc>
          <w:tcPr>
            <w:tcW w:w="6204" w:type="dxa"/>
            <w:tcBorders>
              <w:top w:val="nil"/>
              <w:bottom w:val="single" w:sz="4" w:space="0" w:color="auto"/>
            </w:tcBorders>
          </w:tcPr>
          <w:p w:rsidR="00FB7B13" w:rsidRPr="00FB7B13" w:rsidRDefault="00FB7B13" w:rsidP="00FB17B6">
            <w:pPr>
              <w:jc w:val="both"/>
              <w:rPr>
                <w:sz w:val="24"/>
              </w:rPr>
            </w:pPr>
            <w:r w:rsidRPr="00FB7B13">
              <w:rPr>
                <w:sz w:val="24"/>
              </w:rPr>
              <w:t>(iii) policies dealing with management and oversight;</w:t>
            </w:r>
          </w:p>
        </w:tc>
        <w:tc>
          <w:tcPr>
            <w:tcW w:w="3344" w:type="dxa"/>
            <w:tcBorders>
              <w:top w:val="nil"/>
              <w:bottom w:val="single" w:sz="4" w:space="0" w:color="auto"/>
            </w:tcBorders>
          </w:tcPr>
          <w:p w:rsidR="00FB7B13" w:rsidRPr="00FB7B13" w:rsidRDefault="00123D4D" w:rsidP="00FB17B6">
            <w:pPr>
              <w:jc w:val="both"/>
              <w:rPr>
                <w:sz w:val="24"/>
                <w:u w:val="single"/>
              </w:rPr>
            </w:pPr>
            <w:r w:rsidRPr="00123D4D">
              <w:rPr>
                <w:sz w:val="24"/>
              </w:rPr>
              <w:t>Budget policy section 5</w:t>
            </w:r>
          </w:p>
        </w:tc>
      </w:tr>
      <w:tr w:rsidR="00FB7B13" w:rsidRPr="00FB7B13" w:rsidTr="00123D4D">
        <w:tc>
          <w:tcPr>
            <w:tcW w:w="6204" w:type="dxa"/>
            <w:tcBorders>
              <w:bottom w:val="nil"/>
            </w:tcBorders>
          </w:tcPr>
          <w:p w:rsidR="00FB7B13" w:rsidRPr="00FB7B13" w:rsidRDefault="00FB7B13" w:rsidP="00FB17B6">
            <w:pPr>
              <w:jc w:val="both"/>
              <w:rPr>
                <w:sz w:val="24"/>
              </w:rPr>
            </w:pPr>
            <w:r w:rsidRPr="00FB7B13">
              <w:rPr>
                <w:sz w:val="24"/>
              </w:rPr>
              <w:t>(n) any policies related to managing electricity and water including:</w:t>
            </w:r>
          </w:p>
        </w:tc>
        <w:tc>
          <w:tcPr>
            <w:tcW w:w="3344" w:type="dxa"/>
            <w:tcBorders>
              <w:bottom w:val="nil"/>
            </w:tcBorders>
          </w:tcPr>
          <w:p w:rsidR="00FB7B13" w:rsidRPr="00BE3F33" w:rsidRDefault="00BE3F33" w:rsidP="00FB17B6">
            <w:pPr>
              <w:jc w:val="both"/>
              <w:rPr>
                <w:sz w:val="24"/>
              </w:rPr>
            </w:pPr>
            <w:r w:rsidRPr="00BE3F33">
              <w:rPr>
                <w:sz w:val="24"/>
              </w:rPr>
              <w:t>Tariff policy</w:t>
            </w:r>
          </w:p>
        </w:tc>
      </w:tr>
      <w:tr w:rsidR="00FB7B13" w:rsidRPr="00FB7B13" w:rsidTr="00123D4D">
        <w:tc>
          <w:tcPr>
            <w:tcW w:w="6204" w:type="dxa"/>
            <w:tcBorders>
              <w:top w:val="nil"/>
              <w:bottom w:val="nil"/>
            </w:tcBorders>
          </w:tcPr>
          <w:p w:rsidR="00FB7B13" w:rsidRPr="00FB7B13" w:rsidRDefault="00FB7B13" w:rsidP="00FB17B6">
            <w:pPr>
              <w:jc w:val="both"/>
              <w:rPr>
                <w:sz w:val="24"/>
              </w:rPr>
            </w:pPr>
            <w:r w:rsidRPr="00FB7B13">
              <w:rPr>
                <w:sz w:val="24"/>
              </w:rPr>
              <w:t>(</w:t>
            </w:r>
            <w:proofErr w:type="spellStart"/>
            <w:r w:rsidRPr="00FB7B13">
              <w:rPr>
                <w:sz w:val="24"/>
              </w:rPr>
              <w:t>i</w:t>
            </w:r>
            <w:proofErr w:type="spellEnd"/>
            <w:r w:rsidRPr="00FB7B13">
              <w:rPr>
                <w:sz w:val="24"/>
              </w:rPr>
              <w:t>) a policy related to the management of losses: and</w:t>
            </w:r>
          </w:p>
        </w:tc>
        <w:tc>
          <w:tcPr>
            <w:tcW w:w="3344" w:type="dxa"/>
            <w:tcBorders>
              <w:top w:val="nil"/>
              <w:bottom w:val="nil"/>
            </w:tcBorders>
          </w:tcPr>
          <w:p w:rsidR="00FB7B13" w:rsidRPr="00FB7B13" w:rsidRDefault="00FB7B13" w:rsidP="00FB17B6">
            <w:pPr>
              <w:jc w:val="both"/>
              <w:rPr>
                <w:sz w:val="24"/>
                <w:u w:val="single"/>
              </w:rPr>
            </w:pPr>
          </w:p>
        </w:tc>
      </w:tr>
      <w:tr w:rsidR="00FB7B13" w:rsidRPr="00FB7B13" w:rsidTr="00123D4D">
        <w:tc>
          <w:tcPr>
            <w:tcW w:w="6204" w:type="dxa"/>
            <w:tcBorders>
              <w:top w:val="nil"/>
            </w:tcBorders>
          </w:tcPr>
          <w:p w:rsidR="00FB7B13" w:rsidRPr="00FB7B13" w:rsidRDefault="00FB7B13" w:rsidP="00FB17B6">
            <w:pPr>
              <w:jc w:val="both"/>
              <w:rPr>
                <w:sz w:val="24"/>
              </w:rPr>
            </w:pPr>
            <w:r w:rsidRPr="00FB7B13">
              <w:rPr>
                <w:sz w:val="24"/>
              </w:rPr>
              <w:t>(ii) a policy to promote conservation and efficiency;</w:t>
            </w:r>
          </w:p>
        </w:tc>
        <w:tc>
          <w:tcPr>
            <w:tcW w:w="3344" w:type="dxa"/>
            <w:tcBorders>
              <w:top w:val="nil"/>
            </w:tcBorders>
          </w:tcPr>
          <w:p w:rsidR="00FB7B13" w:rsidRPr="00FB7B13" w:rsidRDefault="00FB7B13" w:rsidP="00FB17B6">
            <w:pPr>
              <w:jc w:val="both"/>
              <w:rPr>
                <w:sz w:val="24"/>
                <w:u w:val="single"/>
              </w:rPr>
            </w:pPr>
          </w:p>
        </w:tc>
      </w:tr>
      <w:tr w:rsidR="00FB7B13" w:rsidRPr="00FB7B13" w:rsidTr="003343DF">
        <w:tc>
          <w:tcPr>
            <w:tcW w:w="6204" w:type="dxa"/>
            <w:tcBorders>
              <w:bottom w:val="single" w:sz="4" w:space="0" w:color="auto"/>
            </w:tcBorders>
          </w:tcPr>
          <w:p w:rsidR="00FB7B13" w:rsidRPr="00FB7B13" w:rsidRDefault="00FB7B13" w:rsidP="00FB17B6">
            <w:pPr>
              <w:jc w:val="both"/>
              <w:rPr>
                <w:sz w:val="24"/>
              </w:rPr>
            </w:pPr>
            <w:r w:rsidRPr="00FB7B13">
              <w:rPr>
                <w:sz w:val="24"/>
              </w:rPr>
              <w:t>(o) any policies relating to personnel including policies on overtime, vacancies and temporary staff;</w:t>
            </w:r>
          </w:p>
        </w:tc>
        <w:tc>
          <w:tcPr>
            <w:tcW w:w="3344" w:type="dxa"/>
            <w:tcBorders>
              <w:bottom w:val="single" w:sz="4" w:space="0" w:color="auto"/>
            </w:tcBorders>
          </w:tcPr>
          <w:p w:rsidR="00FB7B13" w:rsidRPr="00985899" w:rsidRDefault="00123D4D" w:rsidP="00FB17B6">
            <w:pPr>
              <w:jc w:val="both"/>
              <w:rPr>
                <w:sz w:val="24"/>
              </w:rPr>
            </w:pPr>
            <w:r>
              <w:rPr>
                <w:sz w:val="24"/>
              </w:rPr>
              <w:t xml:space="preserve">Recruitment policy – overtime leave </w:t>
            </w:r>
            <w:proofErr w:type="spellStart"/>
            <w:r>
              <w:rPr>
                <w:sz w:val="24"/>
              </w:rPr>
              <w:t>etc</w:t>
            </w:r>
            <w:proofErr w:type="spellEnd"/>
            <w:r>
              <w:rPr>
                <w:sz w:val="24"/>
              </w:rPr>
              <w:t xml:space="preserve"> determined by law and collective agreement</w:t>
            </w:r>
          </w:p>
          <w:p w:rsidR="00985899" w:rsidRPr="00FB7B13" w:rsidRDefault="00985899" w:rsidP="00FB17B6">
            <w:pPr>
              <w:jc w:val="both"/>
              <w:rPr>
                <w:sz w:val="24"/>
                <w:u w:val="single"/>
              </w:rPr>
            </w:pPr>
          </w:p>
        </w:tc>
      </w:tr>
      <w:tr w:rsidR="00FB7B13" w:rsidRPr="00FB7B13" w:rsidTr="003343DF">
        <w:tc>
          <w:tcPr>
            <w:tcW w:w="6204" w:type="dxa"/>
            <w:tcBorders>
              <w:bottom w:val="nil"/>
            </w:tcBorders>
          </w:tcPr>
          <w:p w:rsidR="00FB7B13" w:rsidRPr="00FB7B13" w:rsidRDefault="00FB7B13" w:rsidP="00FB17B6">
            <w:pPr>
              <w:jc w:val="both"/>
              <w:rPr>
                <w:sz w:val="24"/>
              </w:rPr>
            </w:pPr>
            <w:r w:rsidRPr="00FB7B13">
              <w:rPr>
                <w:sz w:val="24"/>
              </w:rPr>
              <w:t>(p) any policies dealing with municipal entities, including:</w:t>
            </w:r>
          </w:p>
        </w:tc>
        <w:tc>
          <w:tcPr>
            <w:tcW w:w="3344" w:type="dxa"/>
            <w:tcBorders>
              <w:bottom w:val="nil"/>
            </w:tcBorders>
          </w:tcPr>
          <w:p w:rsidR="00FB7B13" w:rsidRPr="002F4F28" w:rsidRDefault="002F4F28" w:rsidP="00FB17B6">
            <w:pPr>
              <w:jc w:val="both"/>
              <w:rPr>
                <w:sz w:val="24"/>
              </w:rPr>
            </w:pPr>
            <w:r w:rsidRPr="002F4F28">
              <w:rPr>
                <w:sz w:val="24"/>
              </w:rPr>
              <w:t>N/A</w:t>
            </w:r>
            <w:r>
              <w:rPr>
                <w:sz w:val="24"/>
              </w:rPr>
              <w:t xml:space="preserve"> no municipal</w:t>
            </w:r>
            <w:r w:rsidR="003343DF">
              <w:rPr>
                <w:sz w:val="24"/>
              </w:rPr>
              <w:t xml:space="preserve"> entities</w:t>
            </w:r>
          </w:p>
        </w:tc>
      </w:tr>
      <w:tr w:rsidR="00FB7B13" w:rsidRPr="00FB7B13" w:rsidTr="003343DF">
        <w:tc>
          <w:tcPr>
            <w:tcW w:w="6204" w:type="dxa"/>
            <w:tcBorders>
              <w:top w:val="nil"/>
              <w:bottom w:val="nil"/>
            </w:tcBorders>
          </w:tcPr>
          <w:p w:rsidR="00FB7B13" w:rsidRPr="00FB7B13" w:rsidRDefault="00FB7B13" w:rsidP="00FB17B6">
            <w:pPr>
              <w:jc w:val="both"/>
              <w:rPr>
                <w:sz w:val="24"/>
              </w:rPr>
            </w:pPr>
            <w:r w:rsidRPr="00FB7B13">
              <w:rPr>
                <w:sz w:val="24"/>
              </w:rPr>
              <w:t>(</w:t>
            </w:r>
            <w:proofErr w:type="spellStart"/>
            <w:r w:rsidRPr="00FB7B13">
              <w:rPr>
                <w:sz w:val="24"/>
              </w:rPr>
              <w:t>i</w:t>
            </w:r>
            <w:proofErr w:type="spellEnd"/>
            <w:r w:rsidRPr="00FB7B13">
              <w:rPr>
                <w:sz w:val="24"/>
              </w:rPr>
              <w:t>) the service delivery agreement; and</w:t>
            </w:r>
          </w:p>
        </w:tc>
        <w:tc>
          <w:tcPr>
            <w:tcW w:w="3344" w:type="dxa"/>
            <w:tcBorders>
              <w:top w:val="nil"/>
              <w:bottom w:val="nil"/>
            </w:tcBorders>
          </w:tcPr>
          <w:p w:rsidR="00FB7B13" w:rsidRPr="00FB7B13" w:rsidRDefault="00FB7B13" w:rsidP="00FB17B6">
            <w:pPr>
              <w:jc w:val="both"/>
              <w:rPr>
                <w:sz w:val="24"/>
                <w:u w:val="single"/>
              </w:rPr>
            </w:pPr>
          </w:p>
        </w:tc>
      </w:tr>
      <w:tr w:rsidR="00FB7B13" w:rsidRPr="00FB7B13" w:rsidTr="003343DF">
        <w:tc>
          <w:tcPr>
            <w:tcW w:w="6204" w:type="dxa"/>
            <w:tcBorders>
              <w:top w:val="nil"/>
            </w:tcBorders>
          </w:tcPr>
          <w:p w:rsidR="00FB7B13" w:rsidRPr="00FB7B13" w:rsidRDefault="00FB7B13" w:rsidP="00FB17B6">
            <w:pPr>
              <w:jc w:val="both"/>
              <w:rPr>
                <w:sz w:val="24"/>
              </w:rPr>
            </w:pPr>
            <w:r w:rsidRPr="00FB7B13">
              <w:rPr>
                <w:sz w:val="24"/>
              </w:rPr>
              <w:t>(ii) the dividend preference of the municipality; and</w:t>
            </w:r>
          </w:p>
        </w:tc>
        <w:tc>
          <w:tcPr>
            <w:tcW w:w="3344" w:type="dxa"/>
            <w:tcBorders>
              <w:top w:val="nil"/>
            </w:tcBorders>
          </w:tcPr>
          <w:p w:rsidR="00FB7B13" w:rsidRPr="00FB7B13" w:rsidRDefault="00FB7B13" w:rsidP="00FB17B6">
            <w:pPr>
              <w:jc w:val="both"/>
              <w:rPr>
                <w:sz w:val="24"/>
                <w:u w:val="single"/>
              </w:rPr>
            </w:pPr>
          </w:p>
        </w:tc>
      </w:tr>
      <w:tr w:rsidR="00FB7B13" w:rsidRPr="00FB7B13" w:rsidTr="00FB7B13">
        <w:tc>
          <w:tcPr>
            <w:tcW w:w="6204" w:type="dxa"/>
          </w:tcPr>
          <w:p w:rsidR="00FB7B13" w:rsidRPr="00FB7B13" w:rsidRDefault="00FB7B13" w:rsidP="00FB17B6">
            <w:pPr>
              <w:jc w:val="both"/>
              <w:rPr>
                <w:sz w:val="24"/>
              </w:rPr>
            </w:pPr>
            <w:r w:rsidRPr="00FB7B13">
              <w:rPr>
                <w:sz w:val="24"/>
              </w:rPr>
              <w:t xml:space="preserve">(q) </w:t>
            </w:r>
            <w:proofErr w:type="gramStart"/>
            <w:r w:rsidRPr="00FB7B13">
              <w:rPr>
                <w:sz w:val="24"/>
              </w:rPr>
              <w:t>any</w:t>
            </w:r>
            <w:proofErr w:type="gramEnd"/>
            <w:r w:rsidRPr="00FB7B13">
              <w:rPr>
                <w:sz w:val="24"/>
              </w:rPr>
              <w:t xml:space="preserve"> other budget-related or financial management policies of the municipality.</w:t>
            </w:r>
          </w:p>
        </w:tc>
        <w:tc>
          <w:tcPr>
            <w:tcW w:w="3344" w:type="dxa"/>
          </w:tcPr>
          <w:p w:rsidR="00FB7B13" w:rsidRPr="00985899" w:rsidRDefault="00985899" w:rsidP="00FB17B6">
            <w:pPr>
              <w:jc w:val="both"/>
              <w:rPr>
                <w:sz w:val="24"/>
              </w:rPr>
            </w:pPr>
            <w:r w:rsidRPr="00985899">
              <w:rPr>
                <w:sz w:val="24"/>
              </w:rPr>
              <w:t>Please refer below</w:t>
            </w:r>
          </w:p>
        </w:tc>
      </w:tr>
    </w:tbl>
    <w:p w:rsidR="00FB7B13" w:rsidRDefault="00FB7B13" w:rsidP="00A74FC2">
      <w:pPr>
        <w:jc w:val="both"/>
        <w:rPr>
          <w:sz w:val="24"/>
          <w:u w:val="single"/>
        </w:rPr>
      </w:pPr>
    </w:p>
    <w:p w:rsidR="00FB7B13" w:rsidRPr="00FB7B13" w:rsidRDefault="00423E64" w:rsidP="00A74FC2">
      <w:pPr>
        <w:jc w:val="both"/>
        <w:rPr>
          <w:sz w:val="24"/>
          <w:u w:val="single"/>
        </w:rPr>
      </w:pPr>
      <w:r>
        <w:rPr>
          <w:sz w:val="24"/>
          <w:u w:val="single"/>
        </w:rPr>
        <w:t>Other policies</w:t>
      </w:r>
    </w:p>
    <w:p w:rsidR="00FB7B13" w:rsidRDefault="00FB7B13" w:rsidP="00A74FC2">
      <w:pPr>
        <w:jc w:val="both"/>
        <w:rPr>
          <w:sz w:val="24"/>
        </w:rPr>
      </w:pPr>
    </w:p>
    <w:tbl>
      <w:tblPr>
        <w:tblStyle w:val="TableGrid"/>
        <w:tblW w:w="0" w:type="auto"/>
        <w:tblLook w:val="04A0" w:firstRow="1" w:lastRow="0" w:firstColumn="1" w:lastColumn="0" w:noHBand="0" w:noVBand="1"/>
      </w:tblPr>
      <w:tblGrid>
        <w:gridCol w:w="6204"/>
        <w:gridCol w:w="3344"/>
      </w:tblGrid>
      <w:tr w:rsidR="00423E64" w:rsidRPr="00FB7B13" w:rsidTr="00A66D0E">
        <w:tc>
          <w:tcPr>
            <w:tcW w:w="6204" w:type="dxa"/>
          </w:tcPr>
          <w:p w:rsidR="00423E64" w:rsidRPr="00FB7B13" w:rsidRDefault="00423E64" w:rsidP="00A66D0E">
            <w:pPr>
              <w:jc w:val="both"/>
              <w:rPr>
                <w:b/>
                <w:sz w:val="24"/>
              </w:rPr>
            </w:pPr>
            <w:r>
              <w:rPr>
                <w:b/>
                <w:sz w:val="24"/>
              </w:rPr>
              <w:t>Description</w:t>
            </w:r>
          </w:p>
        </w:tc>
        <w:tc>
          <w:tcPr>
            <w:tcW w:w="3344" w:type="dxa"/>
          </w:tcPr>
          <w:p w:rsidR="00423E64" w:rsidRPr="00FB7B13" w:rsidRDefault="00423E64" w:rsidP="00A66D0E">
            <w:pPr>
              <w:jc w:val="both"/>
              <w:rPr>
                <w:sz w:val="24"/>
                <w:u w:val="single"/>
              </w:rPr>
            </w:pPr>
            <w:r w:rsidRPr="00FB7B13">
              <w:rPr>
                <w:sz w:val="24"/>
                <w:u w:val="single"/>
              </w:rPr>
              <w:t>Comments</w:t>
            </w:r>
          </w:p>
          <w:p w:rsidR="00423E64" w:rsidRPr="00FB7B13" w:rsidRDefault="00423E64" w:rsidP="00A66D0E">
            <w:pPr>
              <w:jc w:val="both"/>
              <w:rPr>
                <w:sz w:val="24"/>
                <w:u w:val="single"/>
              </w:rPr>
            </w:pPr>
          </w:p>
        </w:tc>
      </w:tr>
      <w:tr w:rsidR="00423E64" w:rsidRPr="00FB7B13" w:rsidTr="00A66D0E">
        <w:tc>
          <w:tcPr>
            <w:tcW w:w="6204" w:type="dxa"/>
          </w:tcPr>
          <w:p w:rsidR="00423E64" w:rsidRPr="00FB7B13" w:rsidRDefault="00423E64" w:rsidP="00A66D0E">
            <w:pPr>
              <w:jc w:val="both"/>
              <w:rPr>
                <w:sz w:val="24"/>
              </w:rPr>
            </w:pPr>
            <w:r>
              <w:rPr>
                <w:sz w:val="24"/>
              </w:rPr>
              <w:t>Risk policy</w:t>
            </w:r>
          </w:p>
        </w:tc>
        <w:tc>
          <w:tcPr>
            <w:tcW w:w="3344" w:type="dxa"/>
          </w:tcPr>
          <w:p w:rsidR="00423E64" w:rsidRPr="00FB7B13" w:rsidRDefault="00985899" w:rsidP="00A66D0E">
            <w:pPr>
              <w:jc w:val="both"/>
              <w:rPr>
                <w:sz w:val="24"/>
                <w:u w:val="single"/>
              </w:rPr>
            </w:pPr>
            <w:r>
              <w:rPr>
                <w:sz w:val="24"/>
                <w:u w:val="single"/>
              </w:rPr>
              <w:t>Not revised</w:t>
            </w:r>
          </w:p>
        </w:tc>
      </w:tr>
      <w:tr w:rsidR="00423E64" w:rsidRPr="00FB7B13" w:rsidTr="00A66D0E">
        <w:tc>
          <w:tcPr>
            <w:tcW w:w="6204" w:type="dxa"/>
          </w:tcPr>
          <w:p w:rsidR="00423E64" w:rsidRPr="00FB7B13" w:rsidRDefault="00D05ED2" w:rsidP="00A66D0E">
            <w:pPr>
              <w:jc w:val="both"/>
              <w:rPr>
                <w:sz w:val="24"/>
              </w:rPr>
            </w:pPr>
            <w:r>
              <w:rPr>
                <w:sz w:val="24"/>
              </w:rPr>
              <w:t>ICT Policy</w:t>
            </w:r>
          </w:p>
        </w:tc>
        <w:tc>
          <w:tcPr>
            <w:tcW w:w="3344" w:type="dxa"/>
          </w:tcPr>
          <w:p w:rsidR="00423E64" w:rsidRPr="00123D4D" w:rsidRDefault="00123D4D" w:rsidP="00A66D0E">
            <w:pPr>
              <w:jc w:val="both"/>
              <w:rPr>
                <w:sz w:val="24"/>
              </w:rPr>
            </w:pPr>
            <w:r w:rsidRPr="00123D4D">
              <w:rPr>
                <w:sz w:val="24"/>
              </w:rPr>
              <w:t>To be submitted at council meeting in April</w:t>
            </w:r>
          </w:p>
        </w:tc>
      </w:tr>
      <w:tr w:rsidR="00423E64" w:rsidRPr="00FB7B13" w:rsidTr="00A66D0E">
        <w:tc>
          <w:tcPr>
            <w:tcW w:w="6204" w:type="dxa"/>
          </w:tcPr>
          <w:p w:rsidR="00423E64" w:rsidRPr="00FB7B13" w:rsidRDefault="00423E64" w:rsidP="00A66D0E">
            <w:pPr>
              <w:jc w:val="both"/>
              <w:rPr>
                <w:sz w:val="24"/>
              </w:rPr>
            </w:pPr>
          </w:p>
        </w:tc>
        <w:tc>
          <w:tcPr>
            <w:tcW w:w="3344" w:type="dxa"/>
          </w:tcPr>
          <w:p w:rsidR="00423E64" w:rsidRPr="00FB7B13" w:rsidRDefault="00423E64" w:rsidP="00A66D0E">
            <w:pPr>
              <w:jc w:val="both"/>
              <w:rPr>
                <w:sz w:val="24"/>
                <w:u w:val="single"/>
              </w:rPr>
            </w:pPr>
          </w:p>
        </w:tc>
      </w:tr>
    </w:tbl>
    <w:p w:rsidR="0012483E" w:rsidRDefault="0012483E" w:rsidP="00A74FC2">
      <w:pPr>
        <w:jc w:val="both"/>
        <w:rPr>
          <w:sz w:val="24"/>
        </w:rPr>
      </w:pPr>
    </w:p>
    <w:p w:rsidR="0012483E" w:rsidRDefault="0012483E">
      <w:pPr>
        <w:rPr>
          <w:sz w:val="24"/>
        </w:rPr>
      </w:pPr>
      <w:r>
        <w:rPr>
          <w:sz w:val="24"/>
        </w:rPr>
        <w:br w:type="page"/>
      </w:r>
    </w:p>
    <w:p w:rsidR="00423E64" w:rsidRPr="0012483E" w:rsidRDefault="0012483E" w:rsidP="00A74FC2">
      <w:pPr>
        <w:jc w:val="both"/>
        <w:rPr>
          <w:i/>
          <w:sz w:val="24"/>
        </w:rPr>
      </w:pPr>
      <w:r>
        <w:rPr>
          <w:i/>
          <w:sz w:val="24"/>
        </w:rPr>
        <w:lastRenderedPageBreak/>
        <w:t>Changes to policies</w:t>
      </w:r>
    </w:p>
    <w:p w:rsidR="00423E64" w:rsidRPr="00EE53FF" w:rsidRDefault="00423E64" w:rsidP="00423E64">
      <w:pPr>
        <w:jc w:val="both"/>
        <w:rPr>
          <w:b/>
          <w:sz w:val="28"/>
        </w:rPr>
      </w:pPr>
      <w:r>
        <w:rPr>
          <w:b/>
          <w:sz w:val="28"/>
        </w:rPr>
        <w:t>TARIFF POLICY</w:t>
      </w:r>
      <w:r w:rsidRPr="00EE53FF">
        <w:rPr>
          <w:b/>
          <w:sz w:val="28"/>
        </w:rPr>
        <w:t>:</w:t>
      </w:r>
    </w:p>
    <w:p w:rsidR="00423E64" w:rsidRDefault="00423E64" w:rsidP="00423E64">
      <w:pPr>
        <w:spacing w:after="0" w:line="24" w:lineRule="atLeast"/>
        <w:ind w:left="540" w:hanging="540"/>
        <w:rPr>
          <w:rFonts w:ascii="Arial" w:hAnsi="Arial" w:cs="Arial"/>
        </w:rPr>
      </w:pPr>
    </w:p>
    <w:tbl>
      <w:tblPr>
        <w:tblStyle w:val="TableGrid"/>
        <w:tblW w:w="0" w:type="auto"/>
        <w:tblLayout w:type="fixed"/>
        <w:tblLook w:val="04A0" w:firstRow="1" w:lastRow="0" w:firstColumn="1" w:lastColumn="0" w:noHBand="0" w:noVBand="1"/>
      </w:tblPr>
      <w:tblGrid>
        <w:gridCol w:w="4786"/>
        <w:gridCol w:w="4762"/>
      </w:tblGrid>
      <w:tr w:rsidR="00423E64" w:rsidTr="00B47E60">
        <w:tc>
          <w:tcPr>
            <w:tcW w:w="4786" w:type="dxa"/>
            <w:tcBorders>
              <w:bottom w:val="single" w:sz="4" w:space="0" w:color="auto"/>
            </w:tcBorders>
            <w:shd w:val="clear" w:color="auto" w:fill="D9D9D9" w:themeFill="background1" w:themeFillShade="D9"/>
          </w:tcPr>
          <w:p w:rsidR="00423E64" w:rsidRPr="00FE1EB5" w:rsidRDefault="00423E64" w:rsidP="00A66D0E">
            <w:pPr>
              <w:spacing w:before="60" w:after="60"/>
              <w:jc w:val="both"/>
              <w:rPr>
                <w:b/>
                <w:sz w:val="24"/>
              </w:rPr>
            </w:pPr>
            <w:r w:rsidRPr="00FE1EB5">
              <w:rPr>
                <w:b/>
                <w:sz w:val="24"/>
              </w:rPr>
              <w:t>CURRENT POLICY</w:t>
            </w:r>
          </w:p>
        </w:tc>
        <w:tc>
          <w:tcPr>
            <w:tcW w:w="4762" w:type="dxa"/>
            <w:tcBorders>
              <w:bottom w:val="single" w:sz="4" w:space="0" w:color="auto"/>
            </w:tcBorders>
            <w:shd w:val="clear" w:color="auto" w:fill="D9D9D9" w:themeFill="background1" w:themeFillShade="D9"/>
          </w:tcPr>
          <w:p w:rsidR="00423E64" w:rsidRPr="00FE1EB5" w:rsidRDefault="00423E64" w:rsidP="00A66D0E">
            <w:pPr>
              <w:spacing w:before="60" w:after="60"/>
              <w:jc w:val="both"/>
              <w:rPr>
                <w:b/>
                <w:sz w:val="24"/>
              </w:rPr>
            </w:pPr>
            <w:r w:rsidRPr="00FE1EB5">
              <w:rPr>
                <w:b/>
                <w:sz w:val="24"/>
              </w:rPr>
              <w:t>RECOMMENDED ALTERATIONS</w:t>
            </w:r>
          </w:p>
        </w:tc>
      </w:tr>
      <w:tr w:rsidR="00423E64" w:rsidTr="00B47E60">
        <w:tc>
          <w:tcPr>
            <w:tcW w:w="4786" w:type="dxa"/>
            <w:tcBorders>
              <w:top w:val="single" w:sz="4" w:space="0" w:color="auto"/>
              <w:bottom w:val="nil"/>
            </w:tcBorders>
          </w:tcPr>
          <w:p w:rsidR="00B47E60" w:rsidRPr="00F219F1" w:rsidRDefault="00B47E60" w:rsidP="00B47E60">
            <w:pPr>
              <w:spacing w:line="300" w:lineRule="auto"/>
              <w:ind w:left="567"/>
              <w:jc w:val="both"/>
              <w:rPr>
                <w:rFonts w:ascii="Arial" w:hAnsi="Arial" w:cs="Arial"/>
                <w:szCs w:val="16"/>
                <w:u w:val="single"/>
              </w:rPr>
            </w:pPr>
            <w:r>
              <w:rPr>
                <w:rFonts w:ascii="Arial" w:hAnsi="Arial" w:cs="Arial"/>
                <w:szCs w:val="16"/>
              </w:rPr>
              <w:t xml:space="preserve">4.4 </w:t>
            </w:r>
            <w:r w:rsidRPr="00F219F1">
              <w:rPr>
                <w:rFonts w:ascii="Arial" w:hAnsi="Arial" w:cs="Arial"/>
                <w:szCs w:val="16"/>
              </w:rPr>
              <w:t>Categories of consumption shall be as follows:</w:t>
            </w:r>
          </w:p>
          <w:p w:rsidR="00B47E60" w:rsidRPr="00F219F1" w:rsidRDefault="00B47E60" w:rsidP="00B47E60">
            <w:pPr>
              <w:pStyle w:val="ListParagraph"/>
              <w:spacing w:line="300" w:lineRule="auto"/>
              <w:ind w:left="0"/>
              <w:rPr>
                <w:rFonts w:ascii="Arial" w:hAnsi="Arial" w:cs="Arial"/>
                <w:szCs w:val="16"/>
              </w:rPr>
            </w:pPr>
          </w:p>
          <w:p w:rsidR="00423E64" w:rsidRPr="00A42465" w:rsidRDefault="00423E64" w:rsidP="008A624F">
            <w:pPr>
              <w:spacing w:after="120" w:line="300" w:lineRule="auto"/>
              <w:ind w:left="1276"/>
              <w:jc w:val="both"/>
              <w:rPr>
                <w:sz w:val="24"/>
                <w:lang w:val="af-ZA"/>
              </w:rPr>
            </w:pPr>
          </w:p>
        </w:tc>
        <w:tc>
          <w:tcPr>
            <w:tcW w:w="4762" w:type="dxa"/>
            <w:tcBorders>
              <w:top w:val="single" w:sz="4" w:space="0" w:color="auto"/>
              <w:bottom w:val="nil"/>
            </w:tcBorders>
          </w:tcPr>
          <w:p w:rsidR="00B47E60" w:rsidRPr="00F219F1" w:rsidRDefault="00B47E60" w:rsidP="00B47E60">
            <w:pPr>
              <w:spacing w:line="300" w:lineRule="auto"/>
              <w:ind w:left="567"/>
              <w:jc w:val="both"/>
              <w:rPr>
                <w:rFonts w:ascii="Arial" w:hAnsi="Arial" w:cs="Arial"/>
                <w:szCs w:val="16"/>
                <w:u w:val="single"/>
              </w:rPr>
            </w:pPr>
            <w:r>
              <w:rPr>
                <w:rFonts w:ascii="Arial" w:hAnsi="Arial" w:cs="Arial"/>
                <w:szCs w:val="16"/>
              </w:rPr>
              <w:t xml:space="preserve">4.4 </w:t>
            </w:r>
            <w:r w:rsidRPr="00F219F1">
              <w:rPr>
                <w:rFonts w:ascii="Arial" w:hAnsi="Arial" w:cs="Arial"/>
                <w:szCs w:val="16"/>
              </w:rPr>
              <w:t>Categories of consumption shall be as follows:</w:t>
            </w:r>
          </w:p>
          <w:p w:rsidR="00B47E60" w:rsidRPr="00F219F1" w:rsidRDefault="00B47E60" w:rsidP="00B47E60">
            <w:pPr>
              <w:pStyle w:val="ListParagraph"/>
              <w:spacing w:line="300" w:lineRule="auto"/>
              <w:ind w:left="0"/>
              <w:rPr>
                <w:rFonts w:ascii="Arial" w:hAnsi="Arial" w:cs="Arial"/>
                <w:szCs w:val="16"/>
              </w:rPr>
            </w:pPr>
          </w:p>
          <w:p w:rsidR="00423E64" w:rsidRPr="00532DE7" w:rsidRDefault="00423E64" w:rsidP="008A624F">
            <w:pPr>
              <w:spacing w:after="120" w:line="300" w:lineRule="auto"/>
              <w:ind w:left="1168"/>
              <w:jc w:val="both"/>
              <w:rPr>
                <w:b/>
                <w:sz w:val="24"/>
                <w:szCs w:val="24"/>
              </w:rPr>
            </w:pPr>
          </w:p>
        </w:tc>
      </w:tr>
      <w:tr w:rsidR="00423E64" w:rsidTr="00B47E60">
        <w:tc>
          <w:tcPr>
            <w:tcW w:w="4786" w:type="dxa"/>
            <w:tcBorders>
              <w:top w:val="nil"/>
              <w:bottom w:val="nil"/>
            </w:tcBorders>
          </w:tcPr>
          <w:p w:rsidR="00423E64" w:rsidRPr="00A42465" w:rsidRDefault="00B47E60" w:rsidP="0012483E">
            <w:pPr>
              <w:numPr>
                <w:ilvl w:val="0"/>
                <w:numId w:val="5"/>
              </w:numPr>
              <w:spacing w:after="120" w:line="300" w:lineRule="auto"/>
              <w:ind w:left="851"/>
              <w:jc w:val="both"/>
              <w:rPr>
                <w:rFonts w:ascii="Arial" w:hAnsi="Arial" w:cs="Arial"/>
              </w:rPr>
            </w:pPr>
            <w:r w:rsidRPr="00F219F1">
              <w:rPr>
                <w:rFonts w:ascii="Arial" w:hAnsi="Arial" w:cs="Arial"/>
                <w:szCs w:val="16"/>
              </w:rPr>
              <w:t>All other domestic consumers shall be charged for actual water consumption at a stepped tariff per kl as determined by the council, from time to time on water consumption per month,  according to the categories set out below:</w:t>
            </w:r>
          </w:p>
        </w:tc>
        <w:tc>
          <w:tcPr>
            <w:tcW w:w="4762" w:type="dxa"/>
            <w:tcBorders>
              <w:top w:val="nil"/>
              <w:bottom w:val="nil"/>
            </w:tcBorders>
          </w:tcPr>
          <w:p w:rsidR="00423E64" w:rsidRPr="00532DE7" w:rsidRDefault="00B47E60" w:rsidP="0012483E">
            <w:pPr>
              <w:numPr>
                <w:ilvl w:val="0"/>
                <w:numId w:val="5"/>
              </w:numPr>
              <w:spacing w:after="120" w:line="300" w:lineRule="auto"/>
              <w:ind w:left="851"/>
              <w:jc w:val="both"/>
              <w:rPr>
                <w:sz w:val="24"/>
                <w:szCs w:val="24"/>
              </w:rPr>
            </w:pPr>
            <w:r w:rsidRPr="00F219F1">
              <w:rPr>
                <w:rFonts w:ascii="Arial" w:hAnsi="Arial" w:cs="Arial"/>
                <w:szCs w:val="16"/>
              </w:rPr>
              <w:t xml:space="preserve">All other </w:t>
            </w:r>
            <w:r w:rsidRPr="00B47E60">
              <w:rPr>
                <w:rFonts w:ascii="Arial" w:hAnsi="Arial" w:cs="Arial"/>
                <w:strike/>
                <w:szCs w:val="16"/>
              </w:rPr>
              <w:t>domestic</w:t>
            </w:r>
            <w:r w:rsidRPr="00F219F1">
              <w:rPr>
                <w:rFonts w:ascii="Arial" w:hAnsi="Arial" w:cs="Arial"/>
                <w:szCs w:val="16"/>
              </w:rPr>
              <w:t xml:space="preserve"> consumers shall be charged for actual water consumption at a stepped tariff per kl as determined by the council, from time to time on water consumption per month,  according to the categories set out below:</w:t>
            </w:r>
          </w:p>
        </w:tc>
      </w:tr>
      <w:tr w:rsidR="002A1320" w:rsidTr="00B47E60">
        <w:tc>
          <w:tcPr>
            <w:tcW w:w="4786" w:type="dxa"/>
            <w:tcBorders>
              <w:top w:val="nil"/>
              <w:bottom w:val="nil"/>
            </w:tcBorders>
          </w:tcPr>
          <w:p w:rsidR="002A1320" w:rsidRPr="00724CB2" w:rsidRDefault="002A1320" w:rsidP="0012483E">
            <w:pPr>
              <w:numPr>
                <w:ilvl w:val="1"/>
                <w:numId w:val="2"/>
              </w:numPr>
              <w:spacing w:after="240" w:line="300" w:lineRule="auto"/>
              <w:jc w:val="both"/>
              <w:rPr>
                <w:rFonts w:ascii="Arial" w:hAnsi="Arial" w:cs="Arial"/>
                <w:szCs w:val="16"/>
              </w:rPr>
            </w:pPr>
            <w:r>
              <w:rPr>
                <w:rFonts w:ascii="Arial" w:hAnsi="Arial" w:cs="Arial"/>
                <w:szCs w:val="16"/>
              </w:rPr>
              <w:t xml:space="preserve">      Drought tariffs</w:t>
            </w:r>
          </w:p>
          <w:p w:rsidR="002A1320" w:rsidRPr="002A1320" w:rsidRDefault="002A1320" w:rsidP="0012483E">
            <w:pPr>
              <w:pStyle w:val="ListParagraph"/>
              <w:numPr>
                <w:ilvl w:val="3"/>
                <w:numId w:val="1"/>
              </w:numPr>
              <w:tabs>
                <w:tab w:val="left" w:pos="851"/>
              </w:tabs>
              <w:spacing w:after="120" w:line="24" w:lineRule="atLeast"/>
              <w:ind w:left="851"/>
              <w:jc w:val="both"/>
              <w:rPr>
                <w:rFonts w:ascii="Arial" w:hAnsi="Arial" w:cs="Arial"/>
              </w:rPr>
            </w:pPr>
            <w:r w:rsidRPr="002A1320">
              <w:rPr>
                <w:rFonts w:ascii="Arial" w:hAnsi="Arial" w:cs="Arial"/>
                <w:szCs w:val="16"/>
              </w:rPr>
              <w:t xml:space="preserve">When drought tariffs are implemented, the 6 </w:t>
            </w:r>
            <w:proofErr w:type="spellStart"/>
            <w:r w:rsidRPr="002A1320">
              <w:rPr>
                <w:rFonts w:ascii="Arial" w:hAnsi="Arial" w:cs="Arial"/>
                <w:szCs w:val="16"/>
              </w:rPr>
              <w:t>kiloliter</w:t>
            </w:r>
            <w:proofErr w:type="spellEnd"/>
            <w:r w:rsidRPr="002A1320">
              <w:rPr>
                <w:rFonts w:ascii="Arial" w:hAnsi="Arial" w:cs="Arial"/>
                <w:szCs w:val="16"/>
              </w:rPr>
              <w:t xml:space="preserve"> free water will not be applicable. Consumers will thus pay from the first </w:t>
            </w:r>
            <w:proofErr w:type="spellStart"/>
            <w:r w:rsidRPr="002A1320">
              <w:rPr>
                <w:rFonts w:ascii="Arial" w:hAnsi="Arial" w:cs="Arial"/>
                <w:szCs w:val="16"/>
              </w:rPr>
              <w:t>kiloliter</w:t>
            </w:r>
            <w:proofErr w:type="spellEnd"/>
            <w:r w:rsidRPr="002A1320">
              <w:rPr>
                <w:rFonts w:ascii="Arial" w:hAnsi="Arial" w:cs="Arial"/>
                <w:szCs w:val="16"/>
              </w:rPr>
              <w:t xml:space="preserve"> consumed</w:t>
            </w:r>
          </w:p>
        </w:tc>
        <w:tc>
          <w:tcPr>
            <w:tcW w:w="4762" w:type="dxa"/>
            <w:tcBorders>
              <w:top w:val="nil"/>
              <w:bottom w:val="nil"/>
            </w:tcBorders>
          </w:tcPr>
          <w:p w:rsidR="002A1320" w:rsidRPr="00724CB2" w:rsidRDefault="002A1320" w:rsidP="0012483E">
            <w:pPr>
              <w:numPr>
                <w:ilvl w:val="1"/>
                <w:numId w:val="6"/>
              </w:numPr>
              <w:spacing w:after="240" w:line="300" w:lineRule="auto"/>
              <w:jc w:val="both"/>
              <w:rPr>
                <w:rFonts w:ascii="Arial" w:hAnsi="Arial" w:cs="Arial"/>
                <w:szCs w:val="16"/>
              </w:rPr>
            </w:pPr>
            <w:r>
              <w:rPr>
                <w:rFonts w:ascii="Arial" w:hAnsi="Arial" w:cs="Arial"/>
                <w:szCs w:val="16"/>
              </w:rPr>
              <w:t xml:space="preserve">      Drought tariffs</w:t>
            </w:r>
          </w:p>
          <w:p w:rsidR="002A1320" w:rsidRPr="002A1320" w:rsidRDefault="002A1320" w:rsidP="0012483E">
            <w:pPr>
              <w:pStyle w:val="ListParagraph"/>
              <w:numPr>
                <w:ilvl w:val="3"/>
                <w:numId w:val="1"/>
              </w:numPr>
              <w:tabs>
                <w:tab w:val="left" w:pos="851"/>
              </w:tabs>
              <w:spacing w:after="120" w:line="24" w:lineRule="atLeast"/>
              <w:ind w:left="851"/>
              <w:jc w:val="both"/>
              <w:rPr>
                <w:rFonts w:ascii="Arial" w:hAnsi="Arial" w:cs="Arial"/>
              </w:rPr>
            </w:pPr>
            <w:r w:rsidRPr="002A1320">
              <w:rPr>
                <w:rFonts w:ascii="Arial" w:hAnsi="Arial" w:cs="Arial"/>
                <w:szCs w:val="16"/>
              </w:rPr>
              <w:t xml:space="preserve">When drought tariffs are </w:t>
            </w:r>
            <w:r w:rsidRPr="008A624F">
              <w:rPr>
                <w:rFonts w:ascii="Arial" w:hAnsi="Arial" w:cs="Arial"/>
                <w:strike/>
                <w:szCs w:val="16"/>
              </w:rPr>
              <w:t xml:space="preserve">implemented, the 6 </w:t>
            </w:r>
            <w:proofErr w:type="spellStart"/>
            <w:r w:rsidRPr="008A624F">
              <w:rPr>
                <w:rFonts w:ascii="Arial" w:hAnsi="Arial" w:cs="Arial"/>
                <w:strike/>
                <w:szCs w:val="16"/>
              </w:rPr>
              <w:t>kiloliter</w:t>
            </w:r>
            <w:proofErr w:type="spellEnd"/>
            <w:r w:rsidRPr="008A624F">
              <w:rPr>
                <w:rFonts w:ascii="Arial" w:hAnsi="Arial" w:cs="Arial"/>
                <w:strike/>
                <w:szCs w:val="16"/>
              </w:rPr>
              <w:t xml:space="preserve"> free water will not be applicable. Consumers will thus pay from the first </w:t>
            </w:r>
            <w:proofErr w:type="spellStart"/>
            <w:r w:rsidRPr="008A624F">
              <w:rPr>
                <w:rFonts w:ascii="Arial" w:hAnsi="Arial" w:cs="Arial"/>
                <w:strike/>
                <w:szCs w:val="16"/>
              </w:rPr>
              <w:t>kiloliter</w:t>
            </w:r>
            <w:proofErr w:type="spellEnd"/>
            <w:r w:rsidRPr="008A624F">
              <w:rPr>
                <w:rFonts w:ascii="Arial" w:hAnsi="Arial" w:cs="Arial"/>
                <w:strike/>
                <w:szCs w:val="16"/>
              </w:rPr>
              <w:t xml:space="preserve"> consumed.</w:t>
            </w:r>
            <w:r>
              <w:rPr>
                <w:rFonts w:ascii="Arial" w:hAnsi="Arial" w:cs="Arial"/>
                <w:szCs w:val="16"/>
              </w:rPr>
              <w:t xml:space="preserve"> </w:t>
            </w:r>
            <w:r>
              <w:rPr>
                <w:rFonts w:ascii="Arial" w:hAnsi="Arial" w:cs="Arial"/>
                <w:i/>
                <w:szCs w:val="16"/>
              </w:rPr>
              <w:t>not applicable to registered indigents that w</w:t>
            </w:r>
            <w:r w:rsidR="00FD1731">
              <w:rPr>
                <w:rFonts w:ascii="Arial" w:hAnsi="Arial" w:cs="Arial"/>
                <w:i/>
                <w:szCs w:val="16"/>
              </w:rPr>
              <w:t xml:space="preserve">ill continue to receive 6 </w:t>
            </w:r>
            <w:proofErr w:type="spellStart"/>
            <w:r w:rsidR="00FD1731">
              <w:rPr>
                <w:rFonts w:ascii="Arial" w:hAnsi="Arial" w:cs="Arial"/>
                <w:i/>
                <w:szCs w:val="16"/>
              </w:rPr>
              <w:t>kiloli</w:t>
            </w:r>
            <w:r>
              <w:rPr>
                <w:rFonts w:ascii="Arial" w:hAnsi="Arial" w:cs="Arial"/>
                <w:i/>
                <w:szCs w:val="16"/>
              </w:rPr>
              <w:t>ter</w:t>
            </w:r>
            <w:proofErr w:type="spellEnd"/>
            <w:r>
              <w:rPr>
                <w:rFonts w:ascii="Arial" w:hAnsi="Arial" w:cs="Arial"/>
                <w:i/>
                <w:szCs w:val="16"/>
              </w:rPr>
              <w:t xml:space="preserve"> free</w:t>
            </w:r>
          </w:p>
        </w:tc>
      </w:tr>
      <w:tr w:rsidR="002A1320" w:rsidTr="00B47E60">
        <w:tc>
          <w:tcPr>
            <w:tcW w:w="4786" w:type="dxa"/>
            <w:tcBorders>
              <w:top w:val="nil"/>
              <w:bottom w:val="nil"/>
            </w:tcBorders>
          </w:tcPr>
          <w:p w:rsidR="002A1320" w:rsidRPr="00D116A6" w:rsidRDefault="002A1320" w:rsidP="002A1320">
            <w:pPr>
              <w:spacing w:line="300" w:lineRule="auto"/>
              <w:jc w:val="both"/>
              <w:rPr>
                <w:rFonts w:ascii="Arial" w:hAnsi="Arial" w:cs="Arial"/>
                <w:b/>
                <w:szCs w:val="16"/>
              </w:rPr>
            </w:pPr>
            <w:r w:rsidRPr="00FD1731">
              <w:rPr>
                <w:rFonts w:ascii="Arial" w:hAnsi="Arial" w:cs="Arial"/>
                <w:sz w:val="24"/>
                <w:szCs w:val="16"/>
              </w:rPr>
              <w:t xml:space="preserve">5. </w:t>
            </w:r>
            <w:r w:rsidRPr="00FD1731">
              <w:rPr>
                <w:rFonts w:ascii="Arial" w:hAnsi="Arial" w:cs="Arial"/>
                <w:sz w:val="24"/>
                <w:szCs w:val="16"/>
              </w:rPr>
              <w:tab/>
              <w:t>ELECTRICITY</w:t>
            </w:r>
          </w:p>
          <w:p w:rsidR="002A1320" w:rsidRPr="00724CB2" w:rsidRDefault="002A1320" w:rsidP="002A1320">
            <w:pPr>
              <w:spacing w:line="300" w:lineRule="auto"/>
              <w:jc w:val="both"/>
              <w:rPr>
                <w:rFonts w:ascii="Arial" w:hAnsi="Arial" w:cs="Arial"/>
                <w:sz w:val="16"/>
                <w:szCs w:val="16"/>
              </w:rPr>
            </w:pPr>
          </w:p>
          <w:p w:rsidR="002A1320" w:rsidRPr="00B90E13" w:rsidRDefault="002A1320" w:rsidP="0012483E">
            <w:pPr>
              <w:numPr>
                <w:ilvl w:val="1"/>
                <w:numId w:val="3"/>
              </w:numPr>
              <w:spacing w:line="300" w:lineRule="auto"/>
              <w:ind w:left="709" w:hanging="709"/>
              <w:jc w:val="both"/>
              <w:rPr>
                <w:rFonts w:ascii="Arial" w:hAnsi="Arial" w:cs="Arial"/>
                <w:szCs w:val="16"/>
                <w:u w:val="single"/>
              </w:rPr>
            </w:pPr>
            <w:r w:rsidRPr="00D116A6">
              <w:rPr>
                <w:rFonts w:ascii="Arial" w:hAnsi="Arial" w:cs="Arial"/>
                <w:szCs w:val="16"/>
              </w:rPr>
              <w:t>The various categories of electricity consumers, as set out below, shall be charged at the applicable tariffs, as approved by the council in each annual budget.</w:t>
            </w:r>
          </w:p>
          <w:p w:rsidR="002A1320" w:rsidRDefault="002A1320" w:rsidP="002A1320">
            <w:pPr>
              <w:spacing w:line="300" w:lineRule="auto"/>
              <w:ind w:left="709" w:hanging="709"/>
              <w:jc w:val="both"/>
              <w:rPr>
                <w:rFonts w:ascii="Arial" w:hAnsi="Arial" w:cs="Arial"/>
                <w:szCs w:val="16"/>
                <w:u w:val="single"/>
              </w:rPr>
            </w:pPr>
          </w:p>
          <w:p w:rsidR="002A1320" w:rsidRPr="002A1320" w:rsidRDefault="002A1320" w:rsidP="0012483E">
            <w:pPr>
              <w:numPr>
                <w:ilvl w:val="1"/>
                <w:numId w:val="3"/>
              </w:numPr>
              <w:spacing w:after="240" w:line="300" w:lineRule="auto"/>
              <w:ind w:left="709" w:hanging="709"/>
              <w:jc w:val="both"/>
              <w:rPr>
                <w:rFonts w:ascii="Arial" w:hAnsi="Arial" w:cs="Arial"/>
                <w:szCs w:val="16"/>
                <w:u w:val="single"/>
              </w:rPr>
            </w:pPr>
            <w:r w:rsidRPr="00B90E13">
              <w:rPr>
                <w:rFonts w:ascii="Arial" w:hAnsi="Arial" w:cs="Arial"/>
                <w:szCs w:val="16"/>
              </w:rPr>
              <w:t>Categories of consumption and charges shall be as follows:</w:t>
            </w:r>
          </w:p>
          <w:p w:rsidR="002A1320" w:rsidRDefault="002A1320" w:rsidP="002A1320">
            <w:pPr>
              <w:pStyle w:val="ListParagraph"/>
              <w:rPr>
                <w:rFonts w:ascii="Arial" w:hAnsi="Arial" w:cs="Arial"/>
                <w:szCs w:val="16"/>
                <w:u w:val="single"/>
              </w:rPr>
            </w:pPr>
          </w:p>
          <w:p w:rsidR="002A1320" w:rsidRPr="00656D30" w:rsidRDefault="002A1320" w:rsidP="0012483E">
            <w:pPr>
              <w:numPr>
                <w:ilvl w:val="0"/>
                <w:numId w:val="7"/>
              </w:numPr>
              <w:spacing w:after="240" w:line="300" w:lineRule="auto"/>
              <w:ind w:left="709"/>
              <w:jc w:val="both"/>
              <w:rPr>
                <w:rFonts w:ascii="Arial" w:hAnsi="Arial" w:cs="Arial"/>
              </w:rPr>
            </w:pPr>
            <w:r w:rsidRPr="00B90E13">
              <w:rPr>
                <w:rFonts w:ascii="Arial" w:hAnsi="Arial" w:cs="Arial"/>
                <w:szCs w:val="16"/>
              </w:rPr>
              <w:t xml:space="preserve">All domestic electricity consumers other than registered indigents </w:t>
            </w:r>
            <w:r>
              <w:rPr>
                <w:rFonts w:ascii="Arial" w:hAnsi="Arial" w:cs="Arial"/>
                <w:szCs w:val="16"/>
              </w:rPr>
              <w:t xml:space="preserve">may </w:t>
            </w:r>
            <w:r w:rsidRPr="00B90E13">
              <w:rPr>
                <w:rFonts w:ascii="Arial" w:hAnsi="Arial" w:cs="Arial"/>
                <w:szCs w:val="16"/>
              </w:rPr>
              <w:t>additionally be billed a basic charge per meter installed. The exemption applicable to prepaid meters is made in order to encourage the installation of such meters;</w:t>
            </w:r>
          </w:p>
        </w:tc>
        <w:tc>
          <w:tcPr>
            <w:tcW w:w="4762" w:type="dxa"/>
            <w:tcBorders>
              <w:top w:val="nil"/>
              <w:bottom w:val="nil"/>
            </w:tcBorders>
          </w:tcPr>
          <w:p w:rsidR="002A1320" w:rsidRPr="00FD1731" w:rsidRDefault="002A1320" w:rsidP="00937645">
            <w:pPr>
              <w:spacing w:line="300" w:lineRule="auto"/>
              <w:jc w:val="both"/>
              <w:rPr>
                <w:rFonts w:ascii="Arial" w:hAnsi="Arial" w:cs="Arial"/>
                <w:szCs w:val="16"/>
              </w:rPr>
            </w:pPr>
            <w:r w:rsidRPr="00FD1731">
              <w:rPr>
                <w:rFonts w:ascii="Arial" w:hAnsi="Arial" w:cs="Arial"/>
                <w:sz w:val="24"/>
                <w:szCs w:val="16"/>
              </w:rPr>
              <w:t xml:space="preserve">5. </w:t>
            </w:r>
            <w:r w:rsidRPr="00FD1731">
              <w:rPr>
                <w:rFonts w:ascii="Arial" w:hAnsi="Arial" w:cs="Arial"/>
                <w:sz w:val="24"/>
                <w:szCs w:val="16"/>
              </w:rPr>
              <w:tab/>
              <w:t>ELECTRICITY</w:t>
            </w:r>
          </w:p>
          <w:p w:rsidR="002A1320" w:rsidRPr="00724CB2" w:rsidRDefault="002A1320" w:rsidP="00937645">
            <w:pPr>
              <w:spacing w:line="300" w:lineRule="auto"/>
              <w:jc w:val="both"/>
              <w:rPr>
                <w:rFonts w:ascii="Arial" w:hAnsi="Arial" w:cs="Arial"/>
                <w:sz w:val="16"/>
                <w:szCs w:val="16"/>
              </w:rPr>
            </w:pPr>
          </w:p>
          <w:p w:rsidR="002A1320" w:rsidRPr="00B90E13" w:rsidRDefault="002A1320" w:rsidP="0012483E">
            <w:pPr>
              <w:numPr>
                <w:ilvl w:val="1"/>
                <w:numId w:val="8"/>
              </w:numPr>
              <w:spacing w:line="300" w:lineRule="auto"/>
              <w:jc w:val="both"/>
              <w:rPr>
                <w:rFonts w:ascii="Arial" w:hAnsi="Arial" w:cs="Arial"/>
                <w:szCs w:val="16"/>
                <w:u w:val="single"/>
              </w:rPr>
            </w:pPr>
            <w:r w:rsidRPr="00D116A6">
              <w:rPr>
                <w:rFonts w:ascii="Arial" w:hAnsi="Arial" w:cs="Arial"/>
                <w:szCs w:val="16"/>
              </w:rPr>
              <w:t>The various categories of electricity consumers, as set out below, shall be charged at the applicable tariffs, as approved by the council in each annual budget.</w:t>
            </w:r>
          </w:p>
          <w:p w:rsidR="002A1320" w:rsidRDefault="002A1320" w:rsidP="00937645">
            <w:pPr>
              <w:spacing w:line="300" w:lineRule="auto"/>
              <w:ind w:left="709" w:hanging="709"/>
              <w:jc w:val="both"/>
              <w:rPr>
                <w:rFonts w:ascii="Arial" w:hAnsi="Arial" w:cs="Arial"/>
                <w:szCs w:val="16"/>
                <w:u w:val="single"/>
              </w:rPr>
            </w:pPr>
          </w:p>
          <w:p w:rsidR="002A1320" w:rsidRPr="002A1320" w:rsidRDefault="002A1320" w:rsidP="0012483E">
            <w:pPr>
              <w:numPr>
                <w:ilvl w:val="1"/>
                <w:numId w:val="8"/>
              </w:numPr>
              <w:spacing w:after="240" w:line="300" w:lineRule="auto"/>
              <w:ind w:left="709" w:hanging="709"/>
              <w:jc w:val="both"/>
              <w:rPr>
                <w:rFonts w:ascii="Arial" w:hAnsi="Arial" w:cs="Arial"/>
                <w:szCs w:val="16"/>
                <w:u w:val="single"/>
              </w:rPr>
            </w:pPr>
            <w:r w:rsidRPr="00B90E13">
              <w:rPr>
                <w:rFonts w:ascii="Arial" w:hAnsi="Arial" w:cs="Arial"/>
                <w:szCs w:val="16"/>
              </w:rPr>
              <w:t>Categories of consumption and charges shall be as follows:</w:t>
            </w:r>
          </w:p>
          <w:p w:rsidR="002A1320" w:rsidRDefault="002A1320" w:rsidP="00937645">
            <w:pPr>
              <w:pStyle w:val="ListParagraph"/>
              <w:rPr>
                <w:rFonts w:ascii="Arial" w:hAnsi="Arial" w:cs="Arial"/>
                <w:szCs w:val="16"/>
                <w:u w:val="single"/>
              </w:rPr>
            </w:pPr>
          </w:p>
          <w:p w:rsidR="002A1320" w:rsidRPr="00656D30" w:rsidRDefault="002A1320" w:rsidP="0012483E">
            <w:pPr>
              <w:numPr>
                <w:ilvl w:val="0"/>
                <w:numId w:val="9"/>
              </w:numPr>
              <w:spacing w:after="240" w:line="300" w:lineRule="auto"/>
              <w:ind w:left="709"/>
              <w:jc w:val="both"/>
              <w:rPr>
                <w:rFonts w:ascii="Arial" w:hAnsi="Arial" w:cs="Arial"/>
              </w:rPr>
            </w:pPr>
            <w:r w:rsidRPr="002A1320">
              <w:rPr>
                <w:rFonts w:ascii="Arial" w:hAnsi="Arial" w:cs="Arial"/>
                <w:szCs w:val="16"/>
              </w:rPr>
              <w:t xml:space="preserve">All domestic electricity consumers other than registered indigents may additionally be billed a basic charge per meter installed. The </w:t>
            </w:r>
            <w:r w:rsidRPr="002A1320">
              <w:rPr>
                <w:rFonts w:ascii="Arial" w:hAnsi="Arial" w:cs="Arial"/>
                <w:i/>
                <w:szCs w:val="16"/>
              </w:rPr>
              <w:t xml:space="preserve">special </w:t>
            </w:r>
            <w:r w:rsidRPr="002A1320">
              <w:rPr>
                <w:rFonts w:ascii="Arial" w:hAnsi="Arial" w:cs="Arial"/>
                <w:szCs w:val="16"/>
              </w:rPr>
              <w:t xml:space="preserve">exemption applicable to </w:t>
            </w:r>
            <w:r w:rsidRPr="002A1320">
              <w:rPr>
                <w:rFonts w:ascii="Arial" w:hAnsi="Arial" w:cs="Arial"/>
                <w:i/>
                <w:szCs w:val="16"/>
              </w:rPr>
              <w:t xml:space="preserve">certain users of </w:t>
            </w:r>
            <w:r w:rsidRPr="002A1320">
              <w:rPr>
                <w:rFonts w:ascii="Arial" w:hAnsi="Arial" w:cs="Arial"/>
                <w:szCs w:val="16"/>
              </w:rPr>
              <w:t xml:space="preserve">prepaid meters is made in order to encourage the installation of such </w:t>
            </w:r>
            <w:r w:rsidRPr="002A1320">
              <w:rPr>
                <w:rFonts w:ascii="Arial" w:hAnsi="Arial" w:cs="Arial"/>
                <w:szCs w:val="16"/>
              </w:rPr>
              <w:lastRenderedPageBreak/>
              <w:t>meters;</w:t>
            </w:r>
          </w:p>
        </w:tc>
      </w:tr>
      <w:tr w:rsidR="002A1320" w:rsidTr="00B47E60">
        <w:tc>
          <w:tcPr>
            <w:tcW w:w="4786" w:type="dxa"/>
            <w:tcBorders>
              <w:top w:val="nil"/>
              <w:bottom w:val="nil"/>
            </w:tcBorders>
          </w:tcPr>
          <w:p w:rsidR="002A1320" w:rsidRPr="00FD1731" w:rsidRDefault="00FD1731" w:rsidP="00A66D0E">
            <w:pPr>
              <w:spacing w:before="60" w:after="60"/>
              <w:ind w:left="540" w:hanging="540"/>
              <w:rPr>
                <w:rFonts w:ascii="Arial" w:hAnsi="Arial" w:cs="Arial"/>
                <w:b/>
              </w:rPr>
            </w:pPr>
            <w:r w:rsidRPr="00FD1731">
              <w:rPr>
                <w:rFonts w:ascii="Arial" w:hAnsi="Arial" w:cs="Arial"/>
                <w:b/>
              </w:rPr>
              <w:lastRenderedPageBreak/>
              <w:t>New paragraph in policy</w:t>
            </w:r>
          </w:p>
        </w:tc>
        <w:tc>
          <w:tcPr>
            <w:tcW w:w="4762" w:type="dxa"/>
            <w:tcBorders>
              <w:top w:val="nil"/>
              <w:bottom w:val="nil"/>
            </w:tcBorders>
          </w:tcPr>
          <w:p w:rsidR="002A1320" w:rsidRPr="00FD1731" w:rsidRDefault="00FD1731" w:rsidP="00A66D0E">
            <w:pPr>
              <w:tabs>
                <w:tab w:val="left" w:pos="990"/>
              </w:tabs>
              <w:spacing w:before="60" w:after="60"/>
              <w:ind w:left="613" w:hanging="613"/>
              <w:jc w:val="both"/>
              <w:rPr>
                <w:i/>
                <w:sz w:val="24"/>
                <w:szCs w:val="24"/>
              </w:rPr>
            </w:pPr>
            <w:r w:rsidRPr="00FD1731">
              <w:rPr>
                <w:rFonts w:ascii="Arial" w:hAnsi="Arial" w:cs="Arial"/>
                <w:i/>
                <w:szCs w:val="16"/>
              </w:rPr>
              <w:t>7.5 All septic tank users in the normal service route of the municipality will be charged a monthly fee that will include one tank clearing per month. Additional clearings will be charged as per tariffs.</w:t>
            </w:r>
          </w:p>
        </w:tc>
      </w:tr>
      <w:tr w:rsidR="002A1320" w:rsidTr="00B47E60">
        <w:tc>
          <w:tcPr>
            <w:tcW w:w="4786" w:type="dxa"/>
            <w:tcBorders>
              <w:top w:val="nil"/>
              <w:bottom w:val="nil"/>
            </w:tcBorders>
          </w:tcPr>
          <w:p w:rsidR="002A1320" w:rsidRPr="00AC4EC7" w:rsidRDefault="002A1320" w:rsidP="00D05ED2">
            <w:pPr>
              <w:tabs>
                <w:tab w:val="left" w:pos="1276"/>
              </w:tabs>
              <w:spacing w:after="120" w:line="24" w:lineRule="atLeast"/>
              <w:jc w:val="both"/>
              <w:rPr>
                <w:rFonts w:ascii="Arial" w:hAnsi="Arial" w:cs="Arial"/>
                <w:dstrike/>
              </w:rPr>
            </w:pPr>
          </w:p>
        </w:tc>
        <w:tc>
          <w:tcPr>
            <w:tcW w:w="4762" w:type="dxa"/>
            <w:tcBorders>
              <w:top w:val="nil"/>
              <w:bottom w:val="nil"/>
            </w:tcBorders>
          </w:tcPr>
          <w:p w:rsidR="002A1320" w:rsidRPr="00B41218" w:rsidRDefault="002A1320" w:rsidP="00A66D0E">
            <w:pPr>
              <w:tabs>
                <w:tab w:val="left" w:pos="426"/>
              </w:tabs>
              <w:spacing w:line="24" w:lineRule="atLeast"/>
              <w:rPr>
                <w:rFonts w:ascii="Arial" w:hAnsi="Arial" w:cs="Arial"/>
              </w:rPr>
            </w:pPr>
          </w:p>
        </w:tc>
      </w:tr>
      <w:tr w:rsidR="002A1320" w:rsidTr="00B47E60">
        <w:tc>
          <w:tcPr>
            <w:tcW w:w="4786" w:type="dxa"/>
            <w:tcBorders>
              <w:top w:val="nil"/>
              <w:bottom w:val="single" w:sz="4" w:space="0" w:color="auto"/>
            </w:tcBorders>
          </w:tcPr>
          <w:p w:rsidR="002A1320" w:rsidRPr="00861F87" w:rsidRDefault="002A1320" w:rsidP="00A66D0E">
            <w:pPr>
              <w:tabs>
                <w:tab w:val="left" w:pos="1134"/>
              </w:tabs>
              <w:spacing w:after="120" w:line="24" w:lineRule="atLeast"/>
              <w:jc w:val="both"/>
              <w:rPr>
                <w:rFonts w:ascii="Arial" w:hAnsi="Arial" w:cs="Arial"/>
                <w:dstrike/>
              </w:rPr>
            </w:pPr>
          </w:p>
        </w:tc>
        <w:tc>
          <w:tcPr>
            <w:tcW w:w="4762" w:type="dxa"/>
            <w:tcBorders>
              <w:top w:val="nil"/>
              <w:bottom w:val="single" w:sz="4" w:space="0" w:color="auto"/>
            </w:tcBorders>
          </w:tcPr>
          <w:p w:rsidR="002A1320" w:rsidRPr="00B41218" w:rsidRDefault="002A1320" w:rsidP="00A66D0E">
            <w:pPr>
              <w:tabs>
                <w:tab w:val="left" w:pos="426"/>
              </w:tabs>
              <w:spacing w:line="24" w:lineRule="atLeast"/>
              <w:rPr>
                <w:rFonts w:ascii="Arial" w:hAnsi="Arial" w:cs="Arial"/>
              </w:rPr>
            </w:pPr>
          </w:p>
        </w:tc>
      </w:tr>
    </w:tbl>
    <w:p w:rsidR="007263FD" w:rsidRDefault="007263FD" w:rsidP="00D05ED2">
      <w:pPr>
        <w:spacing w:after="0" w:line="24" w:lineRule="atLeast"/>
        <w:ind w:left="540" w:hanging="540"/>
        <w:rPr>
          <w:sz w:val="24"/>
          <w:lang w:val="af-ZA"/>
        </w:rPr>
      </w:pPr>
    </w:p>
    <w:p w:rsidR="0096500C" w:rsidRPr="00EE53FF" w:rsidRDefault="0096500C" w:rsidP="0096500C">
      <w:pPr>
        <w:jc w:val="both"/>
        <w:rPr>
          <w:b/>
          <w:sz w:val="28"/>
        </w:rPr>
      </w:pPr>
      <w:r>
        <w:rPr>
          <w:b/>
          <w:sz w:val="28"/>
        </w:rPr>
        <w:t>RATES POLICY</w:t>
      </w:r>
      <w:r w:rsidRPr="00EE53FF">
        <w:rPr>
          <w:b/>
          <w:sz w:val="28"/>
        </w:rPr>
        <w:t>:</w:t>
      </w:r>
    </w:p>
    <w:p w:rsidR="0096500C" w:rsidRDefault="0096500C" w:rsidP="0096500C">
      <w:pPr>
        <w:spacing w:after="0" w:line="24" w:lineRule="atLeast"/>
        <w:ind w:left="540" w:hanging="540"/>
        <w:rPr>
          <w:rFonts w:ascii="Arial" w:hAnsi="Arial" w:cs="Arial"/>
        </w:rPr>
      </w:pPr>
    </w:p>
    <w:tbl>
      <w:tblPr>
        <w:tblStyle w:val="TableGrid"/>
        <w:tblW w:w="0" w:type="auto"/>
        <w:tblLayout w:type="fixed"/>
        <w:tblLook w:val="04A0" w:firstRow="1" w:lastRow="0" w:firstColumn="1" w:lastColumn="0" w:noHBand="0" w:noVBand="1"/>
      </w:tblPr>
      <w:tblGrid>
        <w:gridCol w:w="4786"/>
        <w:gridCol w:w="4762"/>
      </w:tblGrid>
      <w:tr w:rsidR="0096500C" w:rsidTr="009A610C">
        <w:tc>
          <w:tcPr>
            <w:tcW w:w="4786" w:type="dxa"/>
            <w:tcBorders>
              <w:bottom w:val="single" w:sz="4" w:space="0" w:color="auto"/>
            </w:tcBorders>
            <w:shd w:val="clear" w:color="auto" w:fill="D9D9D9" w:themeFill="background1" w:themeFillShade="D9"/>
          </w:tcPr>
          <w:p w:rsidR="0096500C" w:rsidRPr="00FE1EB5" w:rsidRDefault="0096500C" w:rsidP="009A610C">
            <w:pPr>
              <w:spacing w:before="60" w:after="60"/>
              <w:jc w:val="both"/>
              <w:rPr>
                <w:b/>
                <w:sz w:val="24"/>
              </w:rPr>
            </w:pPr>
            <w:r w:rsidRPr="00FE1EB5">
              <w:rPr>
                <w:b/>
                <w:sz w:val="24"/>
              </w:rPr>
              <w:t>CURRENT POLICY</w:t>
            </w:r>
          </w:p>
        </w:tc>
        <w:tc>
          <w:tcPr>
            <w:tcW w:w="4762" w:type="dxa"/>
            <w:tcBorders>
              <w:bottom w:val="single" w:sz="4" w:space="0" w:color="auto"/>
            </w:tcBorders>
            <w:shd w:val="clear" w:color="auto" w:fill="D9D9D9" w:themeFill="background1" w:themeFillShade="D9"/>
          </w:tcPr>
          <w:p w:rsidR="0096500C" w:rsidRPr="00FE1EB5" w:rsidRDefault="0096500C" w:rsidP="009A610C">
            <w:pPr>
              <w:spacing w:before="60" w:after="60"/>
              <w:jc w:val="both"/>
              <w:rPr>
                <w:b/>
                <w:sz w:val="24"/>
              </w:rPr>
            </w:pPr>
            <w:r w:rsidRPr="00FE1EB5">
              <w:rPr>
                <w:b/>
                <w:sz w:val="24"/>
              </w:rPr>
              <w:t>RECOMMENDED ALTERATIONS</w:t>
            </w:r>
          </w:p>
        </w:tc>
      </w:tr>
      <w:tr w:rsidR="0096500C" w:rsidTr="009A610C">
        <w:tc>
          <w:tcPr>
            <w:tcW w:w="4786" w:type="dxa"/>
            <w:tcBorders>
              <w:top w:val="nil"/>
              <w:bottom w:val="nil"/>
            </w:tcBorders>
          </w:tcPr>
          <w:p w:rsidR="00F73170" w:rsidRPr="00656D30" w:rsidRDefault="00F73170" w:rsidP="00F73170">
            <w:pPr>
              <w:spacing w:after="120" w:line="24" w:lineRule="atLeast"/>
              <w:ind w:left="567" w:hanging="567"/>
              <w:jc w:val="both"/>
              <w:rPr>
                <w:rFonts w:ascii="Arial" w:hAnsi="Arial" w:cs="Arial"/>
                <w:b/>
              </w:rPr>
            </w:pPr>
            <w:r w:rsidRPr="00656D30">
              <w:rPr>
                <w:rFonts w:ascii="Arial" w:hAnsi="Arial" w:cs="Arial"/>
                <w:b/>
              </w:rPr>
              <w:t>9.</w:t>
            </w:r>
            <w:r w:rsidRPr="00656D30">
              <w:rPr>
                <w:rFonts w:ascii="Arial" w:hAnsi="Arial" w:cs="Arial"/>
                <w:b/>
              </w:rPr>
              <w:tab/>
              <w:t>DIFFERENTIAL RATES</w:t>
            </w:r>
          </w:p>
          <w:p w:rsidR="00F73170" w:rsidRPr="005424BE" w:rsidRDefault="00F73170" w:rsidP="00F73170">
            <w:pPr>
              <w:spacing w:after="120" w:line="300" w:lineRule="auto"/>
              <w:ind w:left="1078" w:hanging="511"/>
              <w:jc w:val="both"/>
              <w:rPr>
                <w:rFonts w:ascii="Arial" w:hAnsi="Arial" w:cs="Arial"/>
              </w:rPr>
            </w:pPr>
            <w:r w:rsidRPr="00656D30">
              <w:rPr>
                <w:rFonts w:ascii="Arial" w:hAnsi="Arial" w:cs="Arial"/>
                <w:b/>
              </w:rPr>
              <w:t xml:space="preserve"> </w:t>
            </w:r>
            <w:r w:rsidRPr="006317D9">
              <w:rPr>
                <w:rFonts w:ascii="Arial" w:hAnsi="Arial" w:cs="Arial"/>
              </w:rPr>
              <w:t>(1)</w:t>
            </w:r>
            <w:r w:rsidRPr="006317D9">
              <w:rPr>
                <w:rFonts w:ascii="Arial" w:hAnsi="Arial" w:cs="Arial"/>
              </w:rPr>
              <w:tab/>
            </w:r>
            <w:r w:rsidRPr="005424BE">
              <w:rPr>
                <w:rFonts w:ascii="Arial" w:hAnsi="Arial" w:cs="Arial"/>
              </w:rPr>
              <w:t>The following criteria as provided for in section 8(1) of the Act will be used when levying different rates for different categories of properties-</w:t>
            </w:r>
          </w:p>
          <w:p w:rsidR="00F73170" w:rsidRPr="005424BE" w:rsidRDefault="00F73170" w:rsidP="0012483E">
            <w:pPr>
              <w:pStyle w:val="ListParagraph"/>
              <w:numPr>
                <w:ilvl w:val="0"/>
                <w:numId w:val="4"/>
              </w:numPr>
              <w:spacing w:line="300" w:lineRule="auto"/>
              <w:ind w:left="1560" w:hanging="426"/>
              <w:jc w:val="both"/>
              <w:rPr>
                <w:rFonts w:ascii="Arial" w:hAnsi="Arial" w:cs="Arial"/>
              </w:rPr>
            </w:pPr>
            <w:r w:rsidRPr="005424BE">
              <w:rPr>
                <w:rFonts w:ascii="Arial" w:hAnsi="Arial" w:cs="Arial"/>
              </w:rPr>
              <w:t>Use of the property;</w:t>
            </w:r>
            <w:r>
              <w:rPr>
                <w:rFonts w:ascii="Arial" w:hAnsi="Arial" w:cs="Arial"/>
              </w:rPr>
              <w:t xml:space="preserve"> or</w:t>
            </w:r>
          </w:p>
          <w:p w:rsidR="00F73170" w:rsidRPr="00B6393F" w:rsidRDefault="00F73170" w:rsidP="0012483E">
            <w:pPr>
              <w:pStyle w:val="ListParagraph"/>
              <w:numPr>
                <w:ilvl w:val="0"/>
                <w:numId w:val="4"/>
              </w:numPr>
              <w:spacing w:line="300" w:lineRule="auto"/>
              <w:ind w:left="1560" w:hanging="426"/>
              <w:jc w:val="both"/>
              <w:rPr>
                <w:rFonts w:ascii="Arial" w:hAnsi="Arial" w:cs="Arial"/>
              </w:rPr>
            </w:pPr>
            <w:r w:rsidRPr="005424BE">
              <w:rPr>
                <w:rFonts w:ascii="Arial" w:hAnsi="Arial" w:cs="Arial"/>
              </w:rPr>
              <w:t>Permitted use of the property</w:t>
            </w:r>
            <w:r w:rsidRPr="00B6393F">
              <w:rPr>
                <w:rFonts w:ascii="Arial" w:hAnsi="Arial" w:cs="Arial"/>
              </w:rPr>
              <w:t>.</w:t>
            </w:r>
          </w:p>
          <w:p w:rsidR="0096500C" w:rsidRPr="00FD1731" w:rsidRDefault="0096500C" w:rsidP="009A610C">
            <w:pPr>
              <w:spacing w:before="60" w:after="60"/>
              <w:ind w:left="540" w:hanging="540"/>
              <w:rPr>
                <w:rFonts w:ascii="Arial" w:hAnsi="Arial" w:cs="Arial"/>
                <w:b/>
              </w:rPr>
            </w:pPr>
          </w:p>
        </w:tc>
        <w:tc>
          <w:tcPr>
            <w:tcW w:w="4762" w:type="dxa"/>
            <w:tcBorders>
              <w:top w:val="nil"/>
              <w:bottom w:val="nil"/>
            </w:tcBorders>
          </w:tcPr>
          <w:p w:rsidR="00F73170" w:rsidRPr="00656D30" w:rsidRDefault="00F73170" w:rsidP="00F73170">
            <w:pPr>
              <w:spacing w:after="120" w:line="24" w:lineRule="atLeast"/>
              <w:ind w:left="567" w:hanging="567"/>
              <w:jc w:val="both"/>
              <w:rPr>
                <w:rFonts w:ascii="Arial" w:hAnsi="Arial" w:cs="Arial"/>
                <w:b/>
              </w:rPr>
            </w:pPr>
            <w:r w:rsidRPr="00656D30">
              <w:rPr>
                <w:rFonts w:ascii="Arial" w:hAnsi="Arial" w:cs="Arial"/>
                <w:b/>
              </w:rPr>
              <w:t>9.</w:t>
            </w:r>
            <w:r w:rsidRPr="00656D30">
              <w:rPr>
                <w:rFonts w:ascii="Arial" w:hAnsi="Arial" w:cs="Arial"/>
                <w:b/>
              </w:rPr>
              <w:tab/>
              <w:t>DIFFERENTIAL RATES</w:t>
            </w:r>
          </w:p>
          <w:p w:rsidR="00F73170" w:rsidRPr="005424BE" w:rsidRDefault="00F73170" w:rsidP="00F73170">
            <w:pPr>
              <w:spacing w:after="120" w:line="300" w:lineRule="auto"/>
              <w:ind w:left="1078" w:hanging="511"/>
              <w:jc w:val="both"/>
              <w:rPr>
                <w:rFonts w:ascii="Arial" w:hAnsi="Arial" w:cs="Arial"/>
              </w:rPr>
            </w:pPr>
            <w:r w:rsidRPr="00656D30">
              <w:rPr>
                <w:rFonts w:ascii="Arial" w:hAnsi="Arial" w:cs="Arial"/>
                <w:b/>
              </w:rPr>
              <w:t xml:space="preserve"> </w:t>
            </w:r>
            <w:r w:rsidRPr="006317D9">
              <w:rPr>
                <w:rFonts w:ascii="Arial" w:hAnsi="Arial" w:cs="Arial"/>
              </w:rPr>
              <w:t>(1)</w:t>
            </w:r>
            <w:r w:rsidRPr="006317D9">
              <w:rPr>
                <w:rFonts w:ascii="Arial" w:hAnsi="Arial" w:cs="Arial"/>
              </w:rPr>
              <w:tab/>
            </w:r>
            <w:r w:rsidRPr="005424BE">
              <w:rPr>
                <w:rFonts w:ascii="Arial" w:hAnsi="Arial" w:cs="Arial"/>
              </w:rPr>
              <w:t>The following criteria as provided for in section 8(1) of the Act will be used when levying different rates for different categories of properties-</w:t>
            </w:r>
          </w:p>
          <w:p w:rsidR="00F73170" w:rsidRPr="005424BE" w:rsidRDefault="00F73170" w:rsidP="0012483E">
            <w:pPr>
              <w:pStyle w:val="ListParagraph"/>
              <w:numPr>
                <w:ilvl w:val="0"/>
                <w:numId w:val="10"/>
              </w:numPr>
              <w:spacing w:line="300" w:lineRule="auto"/>
              <w:jc w:val="both"/>
              <w:rPr>
                <w:rFonts w:ascii="Arial" w:hAnsi="Arial" w:cs="Arial"/>
              </w:rPr>
            </w:pPr>
            <w:r w:rsidRPr="005424BE">
              <w:rPr>
                <w:rFonts w:ascii="Arial" w:hAnsi="Arial" w:cs="Arial"/>
              </w:rPr>
              <w:t>Use of the property;</w:t>
            </w:r>
            <w:r>
              <w:rPr>
                <w:rFonts w:ascii="Arial" w:hAnsi="Arial" w:cs="Arial"/>
              </w:rPr>
              <w:t xml:space="preserve"> or</w:t>
            </w:r>
          </w:p>
          <w:p w:rsidR="00F73170" w:rsidRPr="00B6393F" w:rsidRDefault="00F73170" w:rsidP="0012483E">
            <w:pPr>
              <w:pStyle w:val="ListParagraph"/>
              <w:numPr>
                <w:ilvl w:val="0"/>
                <w:numId w:val="10"/>
              </w:numPr>
              <w:spacing w:line="300" w:lineRule="auto"/>
              <w:ind w:left="1560" w:hanging="426"/>
              <w:jc w:val="both"/>
              <w:rPr>
                <w:rFonts w:ascii="Arial" w:hAnsi="Arial" w:cs="Arial"/>
              </w:rPr>
            </w:pPr>
            <w:r w:rsidRPr="005424BE">
              <w:rPr>
                <w:rFonts w:ascii="Arial" w:hAnsi="Arial" w:cs="Arial"/>
              </w:rPr>
              <w:t>Permitted use of the property</w:t>
            </w:r>
            <w:r w:rsidRPr="00B6393F">
              <w:rPr>
                <w:rFonts w:ascii="Arial" w:hAnsi="Arial" w:cs="Arial"/>
              </w:rPr>
              <w:t>.</w:t>
            </w:r>
          </w:p>
          <w:p w:rsidR="00A717AE" w:rsidRPr="00A717AE" w:rsidRDefault="00A717AE" w:rsidP="00A717AE">
            <w:pPr>
              <w:spacing w:after="120" w:line="300" w:lineRule="auto"/>
              <w:ind w:left="1078" w:hanging="511"/>
              <w:jc w:val="both"/>
              <w:rPr>
                <w:rFonts w:ascii="Arial" w:hAnsi="Arial" w:cs="Arial"/>
                <w:i/>
              </w:rPr>
            </w:pPr>
            <w:r w:rsidRPr="00A717AE">
              <w:rPr>
                <w:rFonts w:ascii="Arial" w:hAnsi="Arial" w:cs="Arial"/>
                <w:i/>
              </w:rPr>
              <w:t>(2)</w:t>
            </w:r>
            <w:r w:rsidRPr="00A717AE">
              <w:rPr>
                <w:rFonts w:ascii="Arial" w:hAnsi="Arial" w:cs="Arial"/>
                <w:i/>
              </w:rPr>
              <w:tab/>
              <w:t>Section 19 rate ratio between residential and non-residential categories of property as per Government Notice Number R363 of 27 March 2009-</w:t>
            </w:r>
          </w:p>
          <w:tbl>
            <w:tblPr>
              <w:tblStyle w:val="TableGrid"/>
              <w:tblW w:w="6017" w:type="dxa"/>
              <w:tblInd w:w="1078" w:type="dxa"/>
              <w:tblLayout w:type="fixed"/>
              <w:tblLook w:val="04A0" w:firstRow="1" w:lastRow="0" w:firstColumn="1" w:lastColumn="0" w:noHBand="0" w:noVBand="1"/>
            </w:tblPr>
            <w:tblGrid>
              <w:gridCol w:w="1786"/>
              <w:gridCol w:w="4231"/>
            </w:tblGrid>
            <w:tr w:rsidR="00A717AE" w:rsidRPr="00A717AE" w:rsidTr="00A717AE">
              <w:tc>
                <w:tcPr>
                  <w:tcW w:w="1786" w:type="dxa"/>
                </w:tcPr>
                <w:p w:rsidR="00A717AE" w:rsidRPr="00A717AE" w:rsidRDefault="00A717AE" w:rsidP="009A610C">
                  <w:pPr>
                    <w:spacing w:after="120" w:line="300" w:lineRule="auto"/>
                    <w:jc w:val="both"/>
                    <w:rPr>
                      <w:rFonts w:ascii="Arial" w:hAnsi="Arial" w:cs="Arial"/>
                      <w:i/>
                      <w:u w:val="single"/>
                    </w:rPr>
                  </w:pPr>
                  <w:r w:rsidRPr="00A717AE">
                    <w:rPr>
                      <w:rFonts w:ascii="Arial" w:hAnsi="Arial" w:cs="Arial"/>
                      <w:i/>
                      <w:u w:val="single"/>
                    </w:rPr>
                    <w:t>Property Category</w:t>
                  </w:r>
                </w:p>
              </w:tc>
              <w:tc>
                <w:tcPr>
                  <w:tcW w:w="4231" w:type="dxa"/>
                </w:tcPr>
                <w:p w:rsidR="00A717AE" w:rsidRPr="00A717AE" w:rsidRDefault="00A717AE" w:rsidP="009A610C">
                  <w:pPr>
                    <w:spacing w:after="120" w:line="300" w:lineRule="auto"/>
                    <w:jc w:val="both"/>
                    <w:rPr>
                      <w:rFonts w:ascii="Arial" w:hAnsi="Arial" w:cs="Arial"/>
                      <w:i/>
                    </w:rPr>
                  </w:pPr>
                  <w:r w:rsidRPr="00A717AE">
                    <w:rPr>
                      <w:rFonts w:ascii="Arial" w:hAnsi="Arial" w:cs="Arial"/>
                      <w:i/>
                    </w:rPr>
                    <w:t>Ratio</w:t>
                  </w:r>
                </w:p>
              </w:tc>
            </w:tr>
            <w:tr w:rsidR="00A717AE" w:rsidRPr="00A717AE" w:rsidTr="00A717AE">
              <w:tc>
                <w:tcPr>
                  <w:tcW w:w="1786" w:type="dxa"/>
                </w:tcPr>
                <w:p w:rsidR="00A717AE" w:rsidRPr="00A717AE" w:rsidRDefault="00A717AE" w:rsidP="009A610C">
                  <w:pPr>
                    <w:spacing w:after="120" w:line="300" w:lineRule="auto"/>
                    <w:jc w:val="both"/>
                    <w:rPr>
                      <w:rFonts w:ascii="Arial" w:hAnsi="Arial" w:cs="Arial"/>
                      <w:i/>
                    </w:rPr>
                  </w:pPr>
                  <w:r w:rsidRPr="00A717AE">
                    <w:rPr>
                      <w:rFonts w:ascii="Arial" w:hAnsi="Arial" w:cs="Arial"/>
                      <w:i/>
                    </w:rPr>
                    <w:t>Residential</w:t>
                  </w:r>
                </w:p>
              </w:tc>
              <w:tc>
                <w:tcPr>
                  <w:tcW w:w="4231" w:type="dxa"/>
                </w:tcPr>
                <w:p w:rsidR="00A717AE" w:rsidRPr="00A717AE" w:rsidRDefault="00A717AE" w:rsidP="009A610C">
                  <w:pPr>
                    <w:spacing w:after="120" w:line="300" w:lineRule="auto"/>
                    <w:jc w:val="both"/>
                    <w:rPr>
                      <w:rFonts w:ascii="Arial" w:hAnsi="Arial" w:cs="Arial"/>
                      <w:i/>
                    </w:rPr>
                  </w:pPr>
                  <w:r w:rsidRPr="00A717AE">
                    <w:rPr>
                      <w:rFonts w:ascii="Arial" w:hAnsi="Arial" w:cs="Arial"/>
                      <w:i/>
                    </w:rPr>
                    <w:t>1:1</w:t>
                  </w:r>
                </w:p>
              </w:tc>
            </w:tr>
            <w:tr w:rsidR="00A717AE" w:rsidRPr="00A717AE" w:rsidTr="00A717AE">
              <w:tc>
                <w:tcPr>
                  <w:tcW w:w="1786" w:type="dxa"/>
                </w:tcPr>
                <w:p w:rsidR="00A717AE" w:rsidRPr="00A717AE" w:rsidRDefault="00A717AE" w:rsidP="009A610C">
                  <w:pPr>
                    <w:spacing w:after="120" w:line="300" w:lineRule="auto"/>
                    <w:jc w:val="both"/>
                    <w:rPr>
                      <w:rFonts w:ascii="Arial" w:hAnsi="Arial" w:cs="Arial"/>
                      <w:i/>
                    </w:rPr>
                  </w:pPr>
                  <w:r w:rsidRPr="00A717AE">
                    <w:rPr>
                      <w:rFonts w:ascii="Arial" w:hAnsi="Arial" w:cs="Arial"/>
                      <w:i/>
                    </w:rPr>
                    <w:t>Agricultural property</w:t>
                  </w:r>
                </w:p>
              </w:tc>
              <w:tc>
                <w:tcPr>
                  <w:tcW w:w="4231" w:type="dxa"/>
                </w:tcPr>
                <w:p w:rsidR="00A717AE" w:rsidRPr="00A717AE" w:rsidRDefault="00A717AE" w:rsidP="009A610C">
                  <w:pPr>
                    <w:spacing w:after="120" w:line="300" w:lineRule="auto"/>
                    <w:jc w:val="both"/>
                    <w:rPr>
                      <w:rFonts w:ascii="Arial" w:hAnsi="Arial" w:cs="Arial"/>
                      <w:i/>
                    </w:rPr>
                  </w:pPr>
                  <w:r w:rsidRPr="00A717AE">
                    <w:rPr>
                      <w:rFonts w:ascii="Arial" w:hAnsi="Arial" w:cs="Arial"/>
                      <w:i/>
                    </w:rPr>
                    <w:t>1:0.25</w:t>
                  </w:r>
                </w:p>
              </w:tc>
            </w:tr>
            <w:tr w:rsidR="00A717AE" w:rsidRPr="00A717AE" w:rsidTr="00A717AE">
              <w:tc>
                <w:tcPr>
                  <w:tcW w:w="1786" w:type="dxa"/>
                </w:tcPr>
                <w:p w:rsidR="00A717AE" w:rsidRPr="00A717AE" w:rsidRDefault="00A717AE" w:rsidP="009A610C">
                  <w:pPr>
                    <w:spacing w:after="120" w:line="300" w:lineRule="auto"/>
                    <w:jc w:val="both"/>
                    <w:rPr>
                      <w:rFonts w:ascii="Arial" w:hAnsi="Arial" w:cs="Arial"/>
                      <w:i/>
                    </w:rPr>
                  </w:pPr>
                  <w:r w:rsidRPr="00A717AE">
                    <w:rPr>
                      <w:rFonts w:ascii="Arial" w:hAnsi="Arial" w:cs="Arial"/>
                      <w:i/>
                    </w:rPr>
                    <w:t>Public service infrastructure property</w:t>
                  </w:r>
                </w:p>
              </w:tc>
              <w:tc>
                <w:tcPr>
                  <w:tcW w:w="4231" w:type="dxa"/>
                </w:tcPr>
                <w:p w:rsidR="00A717AE" w:rsidRPr="00A717AE" w:rsidRDefault="00A717AE" w:rsidP="009A610C">
                  <w:pPr>
                    <w:spacing w:after="120" w:line="300" w:lineRule="auto"/>
                    <w:jc w:val="both"/>
                    <w:rPr>
                      <w:rFonts w:ascii="Arial" w:hAnsi="Arial" w:cs="Arial"/>
                      <w:i/>
                    </w:rPr>
                  </w:pPr>
                  <w:r w:rsidRPr="00A717AE">
                    <w:rPr>
                      <w:rFonts w:ascii="Arial" w:hAnsi="Arial" w:cs="Arial"/>
                      <w:i/>
                    </w:rPr>
                    <w:t>1:0.25</w:t>
                  </w:r>
                </w:p>
              </w:tc>
            </w:tr>
            <w:tr w:rsidR="00A717AE" w:rsidRPr="00A717AE" w:rsidTr="00A717AE">
              <w:tc>
                <w:tcPr>
                  <w:tcW w:w="1786" w:type="dxa"/>
                </w:tcPr>
                <w:p w:rsidR="00A717AE" w:rsidRPr="00A717AE" w:rsidRDefault="00A717AE" w:rsidP="009A610C">
                  <w:pPr>
                    <w:spacing w:after="120" w:line="300" w:lineRule="auto"/>
                    <w:jc w:val="both"/>
                    <w:rPr>
                      <w:rFonts w:ascii="Arial" w:hAnsi="Arial" w:cs="Arial"/>
                      <w:i/>
                    </w:rPr>
                  </w:pPr>
                  <w:r w:rsidRPr="00A717AE">
                    <w:rPr>
                      <w:rFonts w:ascii="Arial" w:hAnsi="Arial" w:cs="Arial"/>
                      <w:i/>
                    </w:rPr>
                    <w:t xml:space="preserve">Public benefit organisation  property  </w:t>
                  </w:r>
                </w:p>
              </w:tc>
              <w:tc>
                <w:tcPr>
                  <w:tcW w:w="4231" w:type="dxa"/>
                </w:tcPr>
                <w:p w:rsidR="00A717AE" w:rsidRPr="00A717AE" w:rsidRDefault="00A717AE" w:rsidP="009A610C">
                  <w:pPr>
                    <w:spacing w:after="120" w:line="300" w:lineRule="auto"/>
                    <w:jc w:val="both"/>
                    <w:rPr>
                      <w:rFonts w:ascii="Arial" w:hAnsi="Arial" w:cs="Arial"/>
                      <w:i/>
                    </w:rPr>
                  </w:pPr>
                  <w:r w:rsidRPr="00A717AE">
                    <w:rPr>
                      <w:rFonts w:ascii="Arial" w:hAnsi="Arial" w:cs="Arial"/>
                      <w:i/>
                    </w:rPr>
                    <w:t>1:0.25</w:t>
                  </w:r>
                </w:p>
              </w:tc>
            </w:tr>
          </w:tbl>
          <w:p w:rsidR="0096500C" w:rsidRPr="00F73170" w:rsidRDefault="0096500C" w:rsidP="00F73170">
            <w:pPr>
              <w:tabs>
                <w:tab w:val="left" w:pos="1168"/>
              </w:tabs>
              <w:spacing w:before="60" w:after="60"/>
              <w:ind w:left="1026" w:hanging="425"/>
              <w:jc w:val="both"/>
              <w:rPr>
                <w:i/>
                <w:sz w:val="24"/>
                <w:szCs w:val="24"/>
              </w:rPr>
            </w:pPr>
          </w:p>
        </w:tc>
      </w:tr>
      <w:tr w:rsidR="0096500C" w:rsidTr="009A610C">
        <w:tc>
          <w:tcPr>
            <w:tcW w:w="4786" w:type="dxa"/>
            <w:tcBorders>
              <w:top w:val="nil"/>
              <w:bottom w:val="nil"/>
            </w:tcBorders>
          </w:tcPr>
          <w:p w:rsidR="00A717AE" w:rsidRPr="008B1FD5" w:rsidRDefault="00A717AE" w:rsidP="00A717AE">
            <w:pPr>
              <w:spacing w:line="24" w:lineRule="atLeast"/>
              <w:ind w:left="720" w:hanging="720"/>
              <w:jc w:val="both"/>
              <w:rPr>
                <w:rFonts w:ascii="Arial" w:hAnsi="Arial" w:cs="Arial"/>
                <w:b/>
              </w:rPr>
            </w:pPr>
            <w:r w:rsidRPr="008B1FD5">
              <w:rPr>
                <w:rFonts w:ascii="Arial" w:hAnsi="Arial" w:cs="Arial"/>
                <w:b/>
              </w:rPr>
              <w:t xml:space="preserve">10.1 </w:t>
            </w:r>
            <w:r>
              <w:rPr>
                <w:rFonts w:ascii="Arial" w:hAnsi="Arial" w:cs="Arial"/>
                <w:b/>
              </w:rPr>
              <w:tab/>
            </w:r>
            <w:r w:rsidRPr="008B1FD5">
              <w:rPr>
                <w:rFonts w:ascii="Arial" w:hAnsi="Arial" w:cs="Arial"/>
                <w:b/>
              </w:rPr>
              <w:t>EXEMPTIONS</w:t>
            </w:r>
          </w:p>
          <w:p w:rsidR="00A717AE" w:rsidRPr="008B1FD5" w:rsidRDefault="00A717AE" w:rsidP="00A717AE">
            <w:pPr>
              <w:spacing w:after="240" w:line="300" w:lineRule="auto"/>
              <w:ind w:left="1134" w:hanging="425"/>
              <w:jc w:val="both"/>
              <w:rPr>
                <w:rFonts w:ascii="Arial" w:hAnsi="Arial" w:cs="Arial"/>
              </w:rPr>
            </w:pPr>
            <w:r w:rsidRPr="008B1FD5">
              <w:rPr>
                <w:rFonts w:ascii="Arial" w:hAnsi="Arial" w:cs="Arial"/>
              </w:rPr>
              <w:t xml:space="preserve"> (1)</w:t>
            </w:r>
            <w:r w:rsidRPr="008B1FD5">
              <w:rPr>
                <w:rFonts w:ascii="Arial" w:hAnsi="Arial" w:cs="Arial"/>
              </w:rPr>
              <w:tab/>
              <w:t xml:space="preserve">In terms of section 15(1)(a) of the Act the owners of the following categories of properties are </w:t>
            </w:r>
            <w:r w:rsidRPr="008B1FD5">
              <w:rPr>
                <w:rFonts w:ascii="Arial" w:hAnsi="Arial" w:cs="Arial"/>
              </w:rPr>
              <w:lastRenderedPageBreak/>
              <w:t>exempted from paying rates:</w:t>
            </w:r>
          </w:p>
          <w:p w:rsidR="00A717AE" w:rsidRPr="008B1FD5" w:rsidRDefault="00A717AE" w:rsidP="00A717AE">
            <w:pPr>
              <w:spacing w:after="240" w:line="300" w:lineRule="auto"/>
              <w:ind w:left="1560" w:hanging="425"/>
              <w:jc w:val="both"/>
              <w:rPr>
                <w:rFonts w:ascii="Arial" w:hAnsi="Arial" w:cs="Arial"/>
              </w:rPr>
            </w:pPr>
            <w:r w:rsidRPr="008B1FD5">
              <w:rPr>
                <w:rFonts w:ascii="Arial" w:hAnsi="Arial" w:cs="Arial"/>
              </w:rPr>
              <w:t xml:space="preserve">(a) </w:t>
            </w:r>
            <w:r>
              <w:rPr>
                <w:rFonts w:ascii="Arial" w:hAnsi="Arial" w:cs="Arial"/>
              </w:rPr>
              <w:tab/>
            </w:r>
            <w:r w:rsidRPr="008B1FD5">
              <w:rPr>
                <w:rFonts w:ascii="Arial" w:hAnsi="Arial" w:cs="Arial"/>
              </w:rPr>
              <w:t>Property registered in the name of any private school which is registered in terms of any law;</w:t>
            </w:r>
          </w:p>
          <w:p w:rsidR="00A717AE" w:rsidRPr="00656D30" w:rsidRDefault="00A717AE" w:rsidP="00A717AE">
            <w:pPr>
              <w:spacing w:after="120" w:line="300" w:lineRule="auto"/>
              <w:ind w:left="1560" w:hanging="425"/>
              <w:jc w:val="both"/>
              <w:rPr>
                <w:rFonts w:ascii="Arial" w:hAnsi="Arial" w:cs="Arial"/>
              </w:rPr>
            </w:pPr>
            <w:r w:rsidRPr="008B1FD5">
              <w:rPr>
                <w:rFonts w:ascii="Arial" w:hAnsi="Arial" w:cs="Arial"/>
              </w:rPr>
              <w:t xml:space="preserve">(b) </w:t>
            </w:r>
            <w:r>
              <w:rPr>
                <w:rFonts w:ascii="Arial" w:hAnsi="Arial" w:cs="Arial"/>
              </w:rPr>
              <w:tab/>
            </w:r>
            <w:r w:rsidRPr="008B1FD5">
              <w:rPr>
                <w:rFonts w:ascii="Arial" w:hAnsi="Arial" w:cs="Arial"/>
              </w:rPr>
              <w:t>Property owned by a religious body or organisation, and exclusively used as a place of assembly</w:t>
            </w:r>
            <w:r w:rsidRPr="00656D30">
              <w:rPr>
                <w:rFonts w:ascii="Arial" w:hAnsi="Arial" w:cs="Arial"/>
              </w:rPr>
              <w:t xml:space="preserve"> for public worship, provided that where such property is used as or for the purposes of a dwelling the exemption contemplated by this paragraph shall only apply if such property is so used by:</w:t>
            </w:r>
          </w:p>
          <w:p w:rsidR="00A717AE" w:rsidRPr="00656D30" w:rsidRDefault="00A717AE" w:rsidP="0012483E">
            <w:pPr>
              <w:numPr>
                <w:ilvl w:val="1"/>
                <w:numId w:val="11"/>
              </w:numPr>
              <w:spacing w:after="240" w:line="300" w:lineRule="auto"/>
              <w:ind w:left="1985" w:hanging="425"/>
              <w:jc w:val="both"/>
              <w:rPr>
                <w:rFonts w:ascii="Arial" w:hAnsi="Arial" w:cs="Arial"/>
              </w:rPr>
            </w:pPr>
            <w:r w:rsidRPr="00656D30">
              <w:rPr>
                <w:rFonts w:ascii="Arial" w:hAnsi="Arial" w:cs="Arial"/>
              </w:rPr>
              <w:t>A minister of religion or an employee in the full-time service of such body or organisation; and</w:t>
            </w:r>
          </w:p>
          <w:p w:rsidR="00A717AE" w:rsidRPr="00656D30" w:rsidRDefault="00A717AE" w:rsidP="00A717AE">
            <w:pPr>
              <w:spacing w:line="300" w:lineRule="auto"/>
              <w:ind w:left="1560" w:hanging="425"/>
              <w:jc w:val="both"/>
              <w:rPr>
                <w:rFonts w:ascii="Arial" w:hAnsi="Arial" w:cs="Arial"/>
              </w:rPr>
            </w:pPr>
            <w:r w:rsidRPr="00861705">
              <w:rPr>
                <w:rFonts w:ascii="Arial" w:hAnsi="Arial" w:cs="Arial"/>
              </w:rPr>
              <w:t xml:space="preserve">(c) </w:t>
            </w:r>
            <w:r w:rsidRPr="00861705">
              <w:rPr>
                <w:rFonts w:ascii="Arial" w:hAnsi="Arial" w:cs="Arial"/>
              </w:rPr>
              <w:tab/>
              <w:t>Property owned</w:t>
            </w:r>
            <w:r w:rsidRPr="00656D30">
              <w:rPr>
                <w:rFonts w:ascii="Arial" w:hAnsi="Arial" w:cs="Arial"/>
              </w:rPr>
              <w:t xml:space="preserve"> by a church and used for the residence of a minister of religion in the full-time service of such church.</w:t>
            </w:r>
          </w:p>
          <w:p w:rsidR="0096500C" w:rsidRPr="00AC4EC7" w:rsidRDefault="0096500C" w:rsidP="009A610C">
            <w:pPr>
              <w:tabs>
                <w:tab w:val="left" w:pos="1276"/>
              </w:tabs>
              <w:spacing w:after="120" w:line="24" w:lineRule="atLeast"/>
              <w:jc w:val="both"/>
              <w:rPr>
                <w:rFonts w:ascii="Arial" w:hAnsi="Arial" w:cs="Arial"/>
                <w:dstrike/>
              </w:rPr>
            </w:pPr>
          </w:p>
        </w:tc>
        <w:tc>
          <w:tcPr>
            <w:tcW w:w="4762" w:type="dxa"/>
            <w:tcBorders>
              <w:top w:val="nil"/>
              <w:bottom w:val="nil"/>
            </w:tcBorders>
          </w:tcPr>
          <w:p w:rsidR="00A717AE" w:rsidRPr="00742148" w:rsidRDefault="00A717AE" w:rsidP="00A717AE">
            <w:pPr>
              <w:spacing w:line="24" w:lineRule="atLeast"/>
              <w:ind w:left="720" w:hanging="720"/>
              <w:jc w:val="both"/>
              <w:rPr>
                <w:rFonts w:ascii="Arial" w:hAnsi="Arial" w:cs="Arial"/>
                <w:b/>
                <w:i/>
              </w:rPr>
            </w:pPr>
            <w:r w:rsidRPr="008B1FD5">
              <w:rPr>
                <w:rFonts w:ascii="Arial" w:hAnsi="Arial" w:cs="Arial"/>
                <w:b/>
              </w:rPr>
              <w:lastRenderedPageBreak/>
              <w:t xml:space="preserve">10.1 </w:t>
            </w:r>
            <w:r>
              <w:rPr>
                <w:rFonts w:ascii="Arial" w:hAnsi="Arial" w:cs="Arial"/>
                <w:b/>
              </w:rPr>
              <w:tab/>
            </w:r>
            <w:r w:rsidRPr="008B1FD5">
              <w:rPr>
                <w:rFonts w:ascii="Arial" w:hAnsi="Arial" w:cs="Arial"/>
                <w:b/>
              </w:rPr>
              <w:t>EXEMPTIONS</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(1)</w:t>
            </w:r>
            <w:r w:rsidRPr="00742148">
              <w:rPr>
                <w:rFonts w:ascii="Arial" w:hAnsi="Arial" w:cs="Arial"/>
                <w:i/>
              </w:rPr>
              <w:tab/>
              <w:t>In terms of section 17(1) of the Act the owners of the following categories of properties are exempted from paying rates:</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(a) subject to paragraph (</w:t>
            </w:r>
            <w:proofErr w:type="spellStart"/>
            <w:r w:rsidRPr="00742148">
              <w:rPr>
                <w:rFonts w:ascii="Arial" w:hAnsi="Arial" w:cs="Arial"/>
                <w:i/>
              </w:rPr>
              <w:t>aA</w:t>
            </w:r>
            <w:proofErr w:type="spellEnd"/>
            <w:r w:rsidRPr="00742148">
              <w:rPr>
                <w:rFonts w:ascii="Arial" w:hAnsi="Arial" w:cs="Arial"/>
                <w:i/>
              </w:rPr>
              <w:t xml:space="preserve">), on the first 30% </w:t>
            </w:r>
            <w:r w:rsidRPr="00742148">
              <w:rPr>
                <w:rFonts w:ascii="Arial" w:hAnsi="Arial" w:cs="Arial"/>
                <w:i/>
              </w:rPr>
              <w:lastRenderedPageBreak/>
              <w:t>of the market value of public service infrastructure;</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w:t>
            </w:r>
            <w:proofErr w:type="spellStart"/>
            <w:r w:rsidRPr="00742148">
              <w:rPr>
                <w:rFonts w:ascii="Arial" w:hAnsi="Arial" w:cs="Arial"/>
                <w:i/>
              </w:rPr>
              <w:t>aA</w:t>
            </w:r>
            <w:proofErr w:type="spellEnd"/>
            <w:r w:rsidRPr="00742148">
              <w:rPr>
                <w:rFonts w:ascii="Arial" w:hAnsi="Arial" w:cs="Arial"/>
                <w:i/>
              </w:rPr>
              <w:t xml:space="preserve">) on any property referred to in paragraphs (a), (b), (e), (g) and (h) of the definition of "public service infrastructure"; </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ab/>
              <w:t>This will be phased in over 5 years as per section 93A of the Act</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(b) on any part of the seashore as defined in the National Environmental Management: Integrated Coastal Management Act, 2008 (Act 24 of 2008);</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(c) on any part of the territorial waters of the Republic as determined in terms of the Maritime Zones Act, 1994 (Act 15 of 1994);</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(d) on any islands of which the state is the owner, including the Prince Edward Islands referred to in the Prince Edward Islands Act, 1948 (Act 43 of 1948);</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(e) on those parts of a special nature reserve, national park or nature reserve within the meaning of the National Environmental Management: Protected Areas Act, 2003 (Act 57 of 2003), or of a national botanical garden within the meaning of the National Environmental Management: Biodiversity Act, 2004 (Act 10 of 2004) which are not developed or used for commercial, business or residential or agricultural purposes;</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(f) on mining rights or a mining permit within the meaning of the Mineral and Petroleum Resources Development Act, 2002 (Act 28 of 2002), excluding any building, other immovable structures and infrastructure above the surface of the mining property required for purposes of mining;</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(g) on a property belonging to a land reform beneficiary or his or her heirs, dependants or spouse:</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Provided that this exclusion lapses:</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w:t>
            </w:r>
            <w:proofErr w:type="spellStart"/>
            <w:r w:rsidRPr="00742148">
              <w:rPr>
                <w:rFonts w:ascii="Arial" w:hAnsi="Arial" w:cs="Arial"/>
                <w:i/>
              </w:rPr>
              <w:t>i</w:t>
            </w:r>
            <w:proofErr w:type="spellEnd"/>
            <w:r w:rsidRPr="00742148">
              <w:rPr>
                <w:rFonts w:ascii="Arial" w:hAnsi="Arial" w:cs="Arial"/>
                <w:i/>
              </w:rPr>
              <w:t>) ten years from the date on which such beneficiary's title was registered in the office of the Registrar of Deeds; or</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(ii) upon alienation of the property by the land reform beneficiary or his or her heirs, dependants or spouse;</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(h) on the first R15 000 of the market value of a property assigned in the valuation roll or supplementary valuation roll of a municipality to a category determined by the municipality:</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w:t>
            </w:r>
            <w:proofErr w:type="spellStart"/>
            <w:r w:rsidRPr="00742148">
              <w:rPr>
                <w:rFonts w:ascii="Arial" w:hAnsi="Arial" w:cs="Arial"/>
                <w:i/>
              </w:rPr>
              <w:t>i</w:t>
            </w:r>
            <w:proofErr w:type="spellEnd"/>
            <w:r w:rsidRPr="00742148">
              <w:rPr>
                <w:rFonts w:ascii="Arial" w:hAnsi="Arial" w:cs="Arial"/>
                <w:i/>
              </w:rPr>
              <w:t>) for residential properties; or</w:t>
            </w:r>
          </w:p>
          <w:p w:rsidR="00742148" w:rsidRPr="00742148" w:rsidRDefault="00742148" w:rsidP="00742148">
            <w:pPr>
              <w:tabs>
                <w:tab w:val="left" w:pos="426"/>
              </w:tabs>
              <w:spacing w:line="24" w:lineRule="atLeast"/>
              <w:rPr>
                <w:rFonts w:ascii="Arial" w:hAnsi="Arial" w:cs="Arial"/>
                <w:i/>
              </w:rPr>
            </w:pPr>
            <w:r w:rsidRPr="00742148">
              <w:rPr>
                <w:rFonts w:ascii="Arial" w:hAnsi="Arial" w:cs="Arial"/>
                <w:i/>
              </w:rPr>
              <w:t>(ii) for properties used for multiple purposes, provided one or more components of the property are used for residential purposes; or</w:t>
            </w:r>
          </w:p>
          <w:p w:rsidR="0096500C" w:rsidRPr="00B41218" w:rsidRDefault="00742148" w:rsidP="00742148">
            <w:pPr>
              <w:tabs>
                <w:tab w:val="left" w:pos="426"/>
              </w:tabs>
              <w:spacing w:line="24" w:lineRule="atLeast"/>
              <w:rPr>
                <w:rFonts w:ascii="Arial" w:hAnsi="Arial" w:cs="Arial"/>
              </w:rPr>
            </w:pPr>
            <w:r w:rsidRPr="00742148">
              <w:rPr>
                <w:rFonts w:ascii="Arial" w:hAnsi="Arial" w:cs="Arial"/>
                <w:i/>
              </w:rPr>
              <w:t>(</w:t>
            </w:r>
            <w:proofErr w:type="spellStart"/>
            <w:r w:rsidRPr="00742148">
              <w:rPr>
                <w:rFonts w:ascii="Arial" w:hAnsi="Arial" w:cs="Arial"/>
                <w:i/>
              </w:rPr>
              <w:t>i</w:t>
            </w:r>
            <w:proofErr w:type="spellEnd"/>
            <w:r w:rsidRPr="00742148">
              <w:rPr>
                <w:rFonts w:ascii="Arial" w:hAnsi="Arial" w:cs="Arial"/>
                <w:i/>
              </w:rPr>
              <w:t xml:space="preserve">) on a property registered in the name of and used primarily as a place of public worship by </w:t>
            </w:r>
            <w:r w:rsidRPr="00742148">
              <w:rPr>
                <w:rFonts w:ascii="Arial" w:hAnsi="Arial" w:cs="Arial"/>
                <w:i/>
              </w:rPr>
              <w:lastRenderedPageBreak/>
              <w:t>a religious community, including the official residence registered in the name of that community which is occupied by the office-bearer of that community who officiates at services at that place of worship.</w:t>
            </w:r>
          </w:p>
        </w:tc>
      </w:tr>
      <w:tr w:rsidR="0096500C" w:rsidTr="00742148">
        <w:tc>
          <w:tcPr>
            <w:tcW w:w="4786" w:type="dxa"/>
            <w:tcBorders>
              <w:top w:val="nil"/>
              <w:bottom w:val="nil"/>
            </w:tcBorders>
          </w:tcPr>
          <w:p w:rsidR="000A3BEC" w:rsidRPr="00656D30" w:rsidRDefault="000A3BEC" w:rsidP="000A3BEC">
            <w:pPr>
              <w:spacing w:after="240" w:line="24" w:lineRule="atLeast"/>
              <w:ind w:left="1134" w:hanging="425"/>
              <w:jc w:val="both"/>
              <w:rPr>
                <w:rFonts w:ascii="Arial" w:hAnsi="Arial" w:cs="Arial"/>
              </w:rPr>
            </w:pPr>
            <w:r w:rsidRPr="00FC43D5">
              <w:rPr>
                <w:rFonts w:ascii="Arial" w:hAnsi="Arial" w:cs="Arial"/>
              </w:rPr>
              <w:lastRenderedPageBreak/>
              <w:t>(1)</w:t>
            </w:r>
            <w:r>
              <w:rPr>
                <w:rFonts w:ascii="Arial" w:hAnsi="Arial" w:cs="Arial"/>
              </w:rPr>
              <w:t xml:space="preserve"> </w:t>
            </w:r>
            <w:r>
              <w:rPr>
                <w:rFonts w:ascii="Arial" w:hAnsi="Arial" w:cs="Arial"/>
              </w:rPr>
              <w:tab/>
            </w:r>
            <w:r w:rsidRPr="00656D30">
              <w:rPr>
                <w:rFonts w:ascii="Arial" w:hAnsi="Arial" w:cs="Arial"/>
              </w:rPr>
              <w:t xml:space="preserve">Rebates for the following categories of owners </w:t>
            </w:r>
            <w:r w:rsidRPr="009A5449">
              <w:rPr>
                <w:rFonts w:ascii="Arial" w:hAnsi="Arial" w:cs="Arial"/>
              </w:rPr>
              <w:t>will</w:t>
            </w:r>
            <w:r>
              <w:rPr>
                <w:rFonts w:ascii="Arial" w:hAnsi="Arial" w:cs="Arial"/>
              </w:rPr>
              <w:t xml:space="preserve"> </w:t>
            </w:r>
            <w:r w:rsidRPr="00656D30">
              <w:rPr>
                <w:rFonts w:ascii="Arial" w:hAnsi="Arial" w:cs="Arial"/>
              </w:rPr>
              <w:t>be considered:</w:t>
            </w:r>
          </w:p>
          <w:p w:rsidR="000A3BEC" w:rsidRDefault="000A3BEC" w:rsidP="0012483E">
            <w:pPr>
              <w:pStyle w:val="ListParagraph"/>
              <w:numPr>
                <w:ilvl w:val="0"/>
                <w:numId w:val="14"/>
              </w:numPr>
              <w:spacing w:line="24" w:lineRule="atLeast"/>
              <w:ind w:left="1559" w:hanging="425"/>
              <w:jc w:val="both"/>
              <w:rPr>
                <w:rFonts w:ascii="Arial" w:hAnsi="Arial" w:cs="Arial"/>
              </w:rPr>
            </w:pPr>
            <w:r w:rsidRPr="000C3C79">
              <w:rPr>
                <w:rFonts w:ascii="Arial" w:hAnsi="Arial" w:cs="Arial"/>
              </w:rPr>
              <w:t>Indigent owners</w:t>
            </w:r>
          </w:p>
          <w:p w:rsidR="000A3BEC" w:rsidRDefault="000A3BEC" w:rsidP="000A3BEC">
            <w:pPr>
              <w:pStyle w:val="ListParagraph"/>
              <w:spacing w:line="24" w:lineRule="atLeast"/>
              <w:ind w:left="1559"/>
              <w:jc w:val="both"/>
              <w:rPr>
                <w:rFonts w:ascii="Arial" w:hAnsi="Arial" w:cs="Arial"/>
              </w:rPr>
            </w:pPr>
          </w:p>
          <w:p w:rsidR="000A3BEC" w:rsidRDefault="000A3BEC" w:rsidP="0012483E">
            <w:pPr>
              <w:pStyle w:val="ListParagraph"/>
              <w:numPr>
                <w:ilvl w:val="0"/>
                <w:numId w:val="14"/>
              </w:numPr>
              <w:spacing w:line="24" w:lineRule="atLeast"/>
              <w:ind w:left="1559" w:hanging="425"/>
              <w:jc w:val="both"/>
              <w:rPr>
                <w:rFonts w:ascii="Arial" w:hAnsi="Arial" w:cs="Arial"/>
              </w:rPr>
            </w:pPr>
            <w:r w:rsidRPr="000C3C79">
              <w:rPr>
                <w:rFonts w:ascii="Arial" w:hAnsi="Arial" w:cs="Arial"/>
              </w:rPr>
              <w:t>Owners dependent on pensions or social grants</w:t>
            </w:r>
          </w:p>
          <w:p w:rsidR="000A3BEC" w:rsidRPr="000C3C79" w:rsidRDefault="000A3BEC" w:rsidP="000A3BEC">
            <w:pPr>
              <w:spacing w:line="24" w:lineRule="atLeast"/>
              <w:jc w:val="both"/>
              <w:rPr>
                <w:rFonts w:ascii="Arial" w:hAnsi="Arial" w:cs="Arial"/>
              </w:rPr>
            </w:pPr>
          </w:p>
          <w:p w:rsidR="000A3BEC" w:rsidRDefault="000A3BEC" w:rsidP="0012483E">
            <w:pPr>
              <w:pStyle w:val="ListParagraph"/>
              <w:numPr>
                <w:ilvl w:val="0"/>
                <w:numId w:val="14"/>
              </w:numPr>
              <w:spacing w:line="24" w:lineRule="atLeast"/>
              <w:ind w:left="1559" w:hanging="425"/>
              <w:jc w:val="both"/>
              <w:rPr>
                <w:rFonts w:ascii="Arial" w:hAnsi="Arial" w:cs="Arial"/>
              </w:rPr>
            </w:pPr>
            <w:r w:rsidRPr="000C3C79">
              <w:rPr>
                <w:rFonts w:ascii="Arial" w:hAnsi="Arial" w:cs="Arial"/>
              </w:rPr>
              <w:t>Owners temporarily without income</w:t>
            </w:r>
          </w:p>
          <w:p w:rsidR="000A3BEC" w:rsidRPr="000C3C79" w:rsidRDefault="000A3BEC" w:rsidP="000A3BEC">
            <w:pPr>
              <w:spacing w:line="24" w:lineRule="atLeast"/>
              <w:jc w:val="both"/>
              <w:rPr>
                <w:rFonts w:ascii="Arial" w:hAnsi="Arial" w:cs="Arial"/>
              </w:rPr>
            </w:pPr>
          </w:p>
          <w:p w:rsidR="000A3BEC" w:rsidRDefault="000A3BEC" w:rsidP="0012483E">
            <w:pPr>
              <w:pStyle w:val="ListParagraph"/>
              <w:numPr>
                <w:ilvl w:val="0"/>
                <w:numId w:val="14"/>
              </w:numPr>
              <w:spacing w:line="24" w:lineRule="atLeast"/>
              <w:ind w:left="1559" w:hanging="425"/>
              <w:jc w:val="both"/>
              <w:rPr>
                <w:rFonts w:ascii="Arial" w:hAnsi="Arial" w:cs="Arial"/>
              </w:rPr>
            </w:pPr>
            <w:r w:rsidRPr="000C3C79">
              <w:rPr>
                <w:rFonts w:ascii="Arial" w:hAnsi="Arial" w:cs="Arial"/>
              </w:rPr>
              <w:t>Owners of residential property with a market value lower than an amount determined by the municipality</w:t>
            </w:r>
          </w:p>
          <w:p w:rsidR="000A3BEC" w:rsidRPr="000C3C79" w:rsidRDefault="000A3BEC" w:rsidP="000A3BEC">
            <w:pPr>
              <w:spacing w:line="24" w:lineRule="atLeast"/>
              <w:jc w:val="both"/>
              <w:rPr>
                <w:rFonts w:ascii="Arial" w:hAnsi="Arial" w:cs="Arial"/>
              </w:rPr>
            </w:pPr>
          </w:p>
          <w:p w:rsidR="000A3BEC" w:rsidRPr="000C3C79" w:rsidRDefault="000A3BEC" w:rsidP="0012483E">
            <w:pPr>
              <w:pStyle w:val="ListParagraph"/>
              <w:numPr>
                <w:ilvl w:val="0"/>
                <w:numId w:val="14"/>
              </w:numPr>
              <w:spacing w:after="120" w:line="24" w:lineRule="atLeast"/>
              <w:ind w:left="1560" w:hanging="426"/>
              <w:jc w:val="both"/>
              <w:rPr>
                <w:rFonts w:ascii="Arial" w:hAnsi="Arial" w:cs="Arial"/>
              </w:rPr>
            </w:pPr>
            <w:r w:rsidRPr="000C3C79">
              <w:rPr>
                <w:rFonts w:ascii="Arial" w:hAnsi="Arial" w:cs="Arial"/>
              </w:rPr>
              <w:t xml:space="preserve">Owners of agricultural property who are </w:t>
            </w:r>
            <w:r w:rsidRPr="000C3C79">
              <w:rPr>
                <w:rFonts w:ascii="Arial" w:hAnsi="Arial" w:cs="Arial"/>
                <w:i/>
              </w:rPr>
              <w:t>bona fide</w:t>
            </w:r>
            <w:r w:rsidRPr="000C3C79">
              <w:rPr>
                <w:rFonts w:ascii="Arial" w:hAnsi="Arial" w:cs="Arial"/>
              </w:rPr>
              <w:t xml:space="preserve"> farmers</w:t>
            </w:r>
          </w:p>
          <w:p w:rsidR="000A3BEC" w:rsidRPr="00656D30" w:rsidRDefault="000A3BEC" w:rsidP="000A3BEC">
            <w:pPr>
              <w:spacing w:after="120" w:line="24" w:lineRule="atLeast"/>
              <w:ind w:left="1620" w:hanging="540"/>
              <w:jc w:val="both"/>
              <w:rPr>
                <w:rFonts w:ascii="Arial" w:hAnsi="Arial" w:cs="Arial"/>
              </w:rPr>
            </w:pPr>
            <w:r>
              <w:rPr>
                <w:rFonts w:ascii="Arial" w:hAnsi="Arial" w:cs="Arial"/>
              </w:rPr>
              <w:tab/>
            </w:r>
          </w:p>
          <w:p w:rsidR="000A3BEC" w:rsidRPr="00CE21A8" w:rsidRDefault="000A3BEC" w:rsidP="0012483E">
            <w:pPr>
              <w:pStyle w:val="ListParagraph"/>
              <w:numPr>
                <w:ilvl w:val="0"/>
                <w:numId w:val="13"/>
              </w:numPr>
              <w:spacing w:after="120" w:line="300" w:lineRule="auto"/>
              <w:ind w:left="1134"/>
              <w:jc w:val="both"/>
              <w:rPr>
                <w:rFonts w:ascii="Arial" w:hAnsi="Arial" w:cs="Arial"/>
              </w:rPr>
            </w:pPr>
            <w:r w:rsidRPr="00CE21A8">
              <w:rPr>
                <w:rFonts w:ascii="Arial" w:hAnsi="Arial" w:cs="Arial"/>
              </w:rPr>
              <w:t>The abovementioned owners may be granted a rebate on the rates payable on their property if they meet the following criteria-</w:t>
            </w:r>
          </w:p>
          <w:p w:rsidR="000A3BEC" w:rsidRPr="000C3C79" w:rsidRDefault="000A3BEC" w:rsidP="0012483E">
            <w:pPr>
              <w:numPr>
                <w:ilvl w:val="0"/>
                <w:numId w:val="12"/>
              </w:numPr>
              <w:tabs>
                <w:tab w:val="clear" w:pos="2340"/>
                <w:tab w:val="num" w:pos="1980"/>
              </w:tabs>
              <w:spacing w:after="120" w:line="300" w:lineRule="auto"/>
              <w:ind w:hanging="720"/>
              <w:jc w:val="both"/>
              <w:rPr>
                <w:rFonts w:ascii="Arial" w:hAnsi="Arial" w:cs="Arial"/>
              </w:rPr>
            </w:pPr>
            <w:r w:rsidRPr="000C3C79">
              <w:rPr>
                <w:rFonts w:ascii="Arial" w:hAnsi="Arial" w:cs="Arial"/>
              </w:rPr>
              <w:t>Registered owner of the property;</w:t>
            </w:r>
          </w:p>
          <w:p w:rsidR="000A3BEC" w:rsidRPr="000C3C79" w:rsidRDefault="000A3BEC" w:rsidP="0012483E">
            <w:pPr>
              <w:numPr>
                <w:ilvl w:val="0"/>
                <w:numId w:val="12"/>
              </w:numPr>
              <w:tabs>
                <w:tab w:val="clear" w:pos="2340"/>
                <w:tab w:val="num" w:pos="1980"/>
              </w:tabs>
              <w:spacing w:after="120" w:line="300" w:lineRule="auto"/>
              <w:ind w:hanging="720"/>
              <w:jc w:val="both"/>
              <w:rPr>
                <w:rFonts w:ascii="Arial" w:hAnsi="Arial" w:cs="Arial"/>
              </w:rPr>
            </w:pPr>
            <w:r w:rsidRPr="000C3C79">
              <w:rPr>
                <w:rFonts w:ascii="Arial" w:hAnsi="Arial" w:cs="Arial"/>
              </w:rPr>
              <w:t>Must reside on the property;</w:t>
            </w:r>
          </w:p>
          <w:p w:rsidR="000A3BEC" w:rsidRPr="000C3C79" w:rsidRDefault="000A3BEC" w:rsidP="0012483E">
            <w:pPr>
              <w:numPr>
                <w:ilvl w:val="0"/>
                <w:numId w:val="12"/>
              </w:numPr>
              <w:tabs>
                <w:tab w:val="clear" w:pos="2340"/>
                <w:tab w:val="num" w:pos="1980"/>
              </w:tabs>
              <w:spacing w:after="120" w:line="300" w:lineRule="auto"/>
              <w:ind w:left="1985" w:hanging="365"/>
              <w:jc w:val="both"/>
              <w:rPr>
                <w:rFonts w:ascii="Arial" w:hAnsi="Arial" w:cs="Arial"/>
              </w:rPr>
            </w:pPr>
            <w:r w:rsidRPr="000C3C79">
              <w:rPr>
                <w:rFonts w:ascii="Arial" w:hAnsi="Arial" w:cs="Arial"/>
              </w:rPr>
              <w:t>Owners of agricultural property should be taxed by SARS as a farmer and the most recent tax assessment must be provided as proof. Where the owner is not taxed as a farmer, proof is required that income from farming activities exceeds 40% of the household income. Proof in the form of the last tax return must be submitted.</w:t>
            </w:r>
          </w:p>
          <w:p w:rsidR="000A3BEC" w:rsidRPr="000C3C79" w:rsidRDefault="000A3BEC" w:rsidP="0012483E">
            <w:pPr>
              <w:numPr>
                <w:ilvl w:val="0"/>
                <w:numId w:val="12"/>
              </w:numPr>
              <w:tabs>
                <w:tab w:val="clear" w:pos="2340"/>
                <w:tab w:val="num" w:pos="1980"/>
              </w:tabs>
              <w:spacing w:after="120" w:line="300" w:lineRule="auto"/>
              <w:ind w:left="1980"/>
              <w:jc w:val="both"/>
              <w:rPr>
                <w:rFonts w:ascii="Arial" w:hAnsi="Arial" w:cs="Arial"/>
              </w:rPr>
            </w:pPr>
            <w:r w:rsidRPr="000C3C79">
              <w:rPr>
                <w:rFonts w:ascii="Arial" w:hAnsi="Arial" w:cs="Arial"/>
              </w:rPr>
              <w:lastRenderedPageBreak/>
              <w:t>Income must not exceed an amount annually set by the Council; and</w:t>
            </w:r>
          </w:p>
          <w:p w:rsidR="000A3BEC" w:rsidRPr="00B63A28" w:rsidRDefault="000A3BEC" w:rsidP="0012483E">
            <w:pPr>
              <w:numPr>
                <w:ilvl w:val="0"/>
                <w:numId w:val="12"/>
              </w:numPr>
              <w:tabs>
                <w:tab w:val="clear" w:pos="2340"/>
                <w:tab w:val="num" w:pos="1980"/>
              </w:tabs>
              <w:spacing w:after="120" w:line="300" w:lineRule="auto"/>
              <w:ind w:left="1980"/>
              <w:jc w:val="both"/>
              <w:rPr>
                <w:rFonts w:ascii="Arial" w:hAnsi="Arial" w:cs="Arial"/>
              </w:rPr>
            </w:pPr>
            <w:r w:rsidRPr="000C3C79">
              <w:rPr>
                <w:rFonts w:ascii="Arial" w:hAnsi="Arial" w:cs="Arial"/>
              </w:rPr>
              <w:t xml:space="preserve">Applications for the rebate must be submitted before 30 June. Late applications will be considered by the Director of Financial Services. </w:t>
            </w:r>
          </w:p>
          <w:p w:rsidR="0096500C" w:rsidRPr="00861F87" w:rsidRDefault="0096500C" w:rsidP="009A610C">
            <w:pPr>
              <w:tabs>
                <w:tab w:val="left" w:pos="1134"/>
              </w:tabs>
              <w:spacing w:after="120" w:line="24" w:lineRule="atLeast"/>
              <w:jc w:val="both"/>
              <w:rPr>
                <w:rFonts w:ascii="Arial" w:hAnsi="Arial" w:cs="Arial"/>
                <w:dstrike/>
              </w:rPr>
            </w:pPr>
          </w:p>
        </w:tc>
        <w:tc>
          <w:tcPr>
            <w:tcW w:w="4762" w:type="dxa"/>
            <w:tcBorders>
              <w:top w:val="nil"/>
              <w:bottom w:val="nil"/>
            </w:tcBorders>
          </w:tcPr>
          <w:p w:rsidR="000A3BEC" w:rsidRPr="00656D30" w:rsidRDefault="000A3BEC" w:rsidP="000A3BEC">
            <w:pPr>
              <w:spacing w:after="240" w:line="24" w:lineRule="atLeast"/>
              <w:ind w:left="1134" w:hanging="425"/>
              <w:jc w:val="both"/>
              <w:rPr>
                <w:rFonts w:ascii="Arial" w:hAnsi="Arial" w:cs="Arial"/>
              </w:rPr>
            </w:pPr>
            <w:r w:rsidRPr="00FC43D5">
              <w:rPr>
                <w:rFonts w:ascii="Arial" w:hAnsi="Arial" w:cs="Arial"/>
              </w:rPr>
              <w:lastRenderedPageBreak/>
              <w:t>(1)</w:t>
            </w:r>
            <w:r>
              <w:rPr>
                <w:rFonts w:ascii="Arial" w:hAnsi="Arial" w:cs="Arial"/>
              </w:rPr>
              <w:t xml:space="preserve"> </w:t>
            </w:r>
            <w:r>
              <w:rPr>
                <w:rFonts w:ascii="Arial" w:hAnsi="Arial" w:cs="Arial"/>
              </w:rPr>
              <w:tab/>
            </w:r>
            <w:r w:rsidRPr="00656D30">
              <w:rPr>
                <w:rFonts w:ascii="Arial" w:hAnsi="Arial" w:cs="Arial"/>
              </w:rPr>
              <w:t xml:space="preserve">Rebates for the following categories of owners </w:t>
            </w:r>
            <w:r w:rsidRPr="009A5449">
              <w:rPr>
                <w:rFonts w:ascii="Arial" w:hAnsi="Arial" w:cs="Arial"/>
              </w:rPr>
              <w:t>will</w:t>
            </w:r>
            <w:r>
              <w:rPr>
                <w:rFonts w:ascii="Arial" w:hAnsi="Arial" w:cs="Arial"/>
              </w:rPr>
              <w:t xml:space="preserve"> </w:t>
            </w:r>
            <w:r w:rsidRPr="00656D30">
              <w:rPr>
                <w:rFonts w:ascii="Arial" w:hAnsi="Arial" w:cs="Arial"/>
              </w:rPr>
              <w:t>be considered:</w:t>
            </w:r>
          </w:p>
          <w:p w:rsidR="000A3BEC" w:rsidRDefault="000A3BEC" w:rsidP="0012483E">
            <w:pPr>
              <w:pStyle w:val="ListParagraph"/>
              <w:numPr>
                <w:ilvl w:val="0"/>
                <w:numId w:val="15"/>
              </w:numPr>
              <w:spacing w:line="24" w:lineRule="atLeast"/>
              <w:jc w:val="both"/>
              <w:rPr>
                <w:rFonts w:ascii="Arial" w:hAnsi="Arial" w:cs="Arial"/>
              </w:rPr>
            </w:pPr>
            <w:r w:rsidRPr="000C3C79">
              <w:rPr>
                <w:rFonts w:ascii="Arial" w:hAnsi="Arial" w:cs="Arial"/>
              </w:rPr>
              <w:t>Indigent owners</w:t>
            </w:r>
          </w:p>
          <w:p w:rsidR="000A3BEC" w:rsidRDefault="000A3BEC" w:rsidP="000A3BEC">
            <w:pPr>
              <w:pStyle w:val="ListParagraph"/>
              <w:spacing w:line="24" w:lineRule="atLeast"/>
              <w:ind w:left="1559"/>
              <w:jc w:val="both"/>
              <w:rPr>
                <w:rFonts w:ascii="Arial" w:hAnsi="Arial" w:cs="Arial"/>
              </w:rPr>
            </w:pPr>
          </w:p>
          <w:p w:rsidR="000A3BEC" w:rsidRDefault="000A3BEC" w:rsidP="0012483E">
            <w:pPr>
              <w:pStyle w:val="ListParagraph"/>
              <w:numPr>
                <w:ilvl w:val="0"/>
                <w:numId w:val="15"/>
              </w:numPr>
              <w:spacing w:line="24" w:lineRule="atLeast"/>
              <w:ind w:left="1559" w:hanging="425"/>
              <w:jc w:val="both"/>
              <w:rPr>
                <w:rFonts w:ascii="Arial" w:hAnsi="Arial" w:cs="Arial"/>
              </w:rPr>
            </w:pPr>
            <w:r w:rsidRPr="000C3C79">
              <w:rPr>
                <w:rFonts w:ascii="Arial" w:hAnsi="Arial" w:cs="Arial"/>
              </w:rPr>
              <w:t>Owners dependent on pensions or social grants</w:t>
            </w:r>
          </w:p>
          <w:p w:rsidR="000A3BEC" w:rsidRPr="000C3C79" w:rsidRDefault="000A3BEC" w:rsidP="000A3BEC">
            <w:pPr>
              <w:spacing w:line="24" w:lineRule="atLeast"/>
              <w:jc w:val="both"/>
              <w:rPr>
                <w:rFonts w:ascii="Arial" w:hAnsi="Arial" w:cs="Arial"/>
              </w:rPr>
            </w:pPr>
          </w:p>
          <w:p w:rsidR="000A3BEC" w:rsidRDefault="000A3BEC" w:rsidP="0012483E">
            <w:pPr>
              <w:pStyle w:val="ListParagraph"/>
              <w:numPr>
                <w:ilvl w:val="0"/>
                <w:numId w:val="15"/>
              </w:numPr>
              <w:spacing w:line="24" w:lineRule="atLeast"/>
              <w:ind w:left="1559" w:hanging="425"/>
              <w:jc w:val="both"/>
              <w:rPr>
                <w:rFonts w:ascii="Arial" w:hAnsi="Arial" w:cs="Arial"/>
              </w:rPr>
            </w:pPr>
            <w:r w:rsidRPr="000C3C79">
              <w:rPr>
                <w:rFonts w:ascii="Arial" w:hAnsi="Arial" w:cs="Arial"/>
              </w:rPr>
              <w:t>Owners temporarily without income</w:t>
            </w:r>
          </w:p>
          <w:p w:rsidR="000A3BEC" w:rsidRPr="000C3C79" w:rsidRDefault="000A3BEC" w:rsidP="000A3BEC">
            <w:pPr>
              <w:spacing w:line="24" w:lineRule="atLeast"/>
              <w:jc w:val="both"/>
              <w:rPr>
                <w:rFonts w:ascii="Arial" w:hAnsi="Arial" w:cs="Arial"/>
              </w:rPr>
            </w:pPr>
          </w:p>
          <w:p w:rsidR="000A3BEC" w:rsidRDefault="000A3BEC" w:rsidP="0012483E">
            <w:pPr>
              <w:pStyle w:val="ListParagraph"/>
              <w:numPr>
                <w:ilvl w:val="0"/>
                <w:numId w:val="15"/>
              </w:numPr>
              <w:spacing w:line="24" w:lineRule="atLeast"/>
              <w:ind w:left="1559" w:hanging="425"/>
              <w:jc w:val="both"/>
              <w:rPr>
                <w:rFonts w:ascii="Arial" w:hAnsi="Arial" w:cs="Arial"/>
              </w:rPr>
            </w:pPr>
            <w:r w:rsidRPr="000C3C79">
              <w:rPr>
                <w:rFonts w:ascii="Arial" w:hAnsi="Arial" w:cs="Arial"/>
              </w:rPr>
              <w:t>Owners of residential property with a market value lower than an amount determined by the municipality</w:t>
            </w:r>
          </w:p>
          <w:p w:rsidR="000A3BEC" w:rsidRPr="000C3C79" w:rsidRDefault="000A3BEC" w:rsidP="000A3BEC">
            <w:pPr>
              <w:spacing w:line="24" w:lineRule="atLeast"/>
              <w:jc w:val="both"/>
              <w:rPr>
                <w:rFonts w:ascii="Arial" w:hAnsi="Arial" w:cs="Arial"/>
              </w:rPr>
            </w:pPr>
          </w:p>
          <w:p w:rsidR="000A3BEC" w:rsidRDefault="000A3BEC" w:rsidP="0012483E">
            <w:pPr>
              <w:pStyle w:val="ListParagraph"/>
              <w:numPr>
                <w:ilvl w:val="0"/>
                <w:numId w:val="15"/>
              </w:numPr>
              <w:spacing w:after="120" w:line="24" w:lineRule="atLeast"/>
              <w:ind w:left="1560" w:hanging="426"/>
              <w:jc w:val="both"/>
              <w:rPr>
                <w:rFonts w:ascii="Arial" w:hAnsi="Arial" w:cs="Arial"/>
              </w:rPr>
            </w:pPr>
            <w:r w:rsidRPr="000C3C79">
              <w:rPr>
                <w:rFonts w:ascii="Arial" w:hAnsi="Arial" w:cs="Arial"/>
              </w:rPr>
              <w:t xml:space="preserve">Owners of agricultural property who are </w:t>
            </w:r>
            <w:r w:rsidRPr="000C3C79">
              <w:rPr>
                <w:rFonts w:ascii="Arial" w:hAnsi="Arial" w:cs="Arial"/>
                <w:i/>
              </w:rPr>
              <w:t>bona fide</w:t>
            </w:r>
            <w:r w:rsidRPr="000C3C79">
              <w:rPr>
                <w:rFonts w:ascii="Arial" w:hAnsi="Arial" w:cs="Arial"/>
              </w:rPr>
              <w:t xml:space="preserve"> farmers</w:t>
            </w:r>
          </w:p>
          <w:p w:rsidR="000A3BEC" w:rsidRPr="00025F1F" w:rsidRDefault="000A3BEC" w:rsidP="000A3BEC">
            <w:pPr>
              <w:pStyle w:val="ListParagraph"/>
              <w:rPr>
                <w:rFonts w:ascii="Arial" w:hAnsi="Arial" w:cs="Arial"/>
              </w:rPr>
            </w:pPr>
          </w:p>
          <w:p w:rsidR="000A3BEC" w:rsidRPr="000A3BEC" w:rsidRDefault="000A3BEC" w:rsidP="0012483E">
            <w:pPr>
              <w:pStyle w:val="ListParagraph"/>
              <w:numPr>
                <w:ilvl w:val="0"/>
                <w:numId w:val="15"/>
              </w:numPr>
              <w:spacing w:after="120" w:line="24" w:lineRule="atLeast"/>
              <w:ind w:left="1560" w:hanging="426"/>
              <w:jc w:val="both"/>
              <w:rPr>
                <w:rFonts w:ascii="Arial" w:hAnsi="Arial" w:cs="Arial"/>
                <w:i/>
              </w:rPr>
            </w:pPr>
            <w:r w:rsidRPr="000A3BEC">
              <w:rPr>
                <w:rFonts w:ascii="Arial" w:hAnsi="Arial" w:cs="Arial"/>
                <w:i/>
              </w:rPr>
              <w:t>State owned property (Excluding state owned property that qualify for an exemption or differential rate)</w:t>
            </w:r>
          </w:p>
          <w:p w:rsidR="000A3BEC" w:rsidRPr="00656D30" w:rsidRDefault="000A3BEC" w:rsidP="000A3BEC">
            <w:pPr>
              <w:spacing w:after="120" w:line="24" w:lineRule="atLeast"/>
              <w:ind w:left="1620" w:hanging="540"/>
              <w:jc w:val="both"/>
              <w:rPr>
                <w:rFonts w:ascii="Arial" w:hAnsi="Arial" w:cs="Arial"/>
              </w:rPr>
            </w:pPr>
          </w:p>
          <w:p w:rsidR="000A3BEC" w:rsidRPr="00CE21A8" w:rsidRDefault="000A3BEC" w:rsidP="0012483E">
            <w:pPr>
              <w:pStyle w:val="ListParagraph"/>
              <w:numPr>
                <w:ilvl w:val="0"/>
                <w:numId w:val="13"/>
              </w:numPr>
              <w:spacing w:after="120" w:line="300" w:lineRule="auto"/>
              <w:ind w:left="1134"/>
              <w:jc w:val="both"/>
              <w:rPr>
                <w:rFonts w:ascii="Arial" w:hAnsi="Arial" w:cs="Arial"/>
              </w:rPr>
            </w:pPr>
            <w:r w:rsidRPr="00CE21A8">
              <w:rPr>
                <w:rFonts w:ascii="Arial" w:hAnsi="Arial" w:cs="Arial"/>
              </w:rPr>
              <w:t>The abovementioned owners may be granted a rebate on the rates payable on their property if they meet the following criteria-</w:t>
            </w:r>
          </w:p>
          <w:p w:rsidR="000A3BEC" w:rsidRPr="000C3C79" w:rsidRDefault="000A3BEC" w:rsidP="0012483E">
            <w:pPr>
              <w:numPr>
                <w:ilvl w:val="0"/>
                <w:numId w:val="12"/>
              </w:numPr>
              <w:tabs>
                <w:tab w:val="clear" w:pos="2340"/>
                <w:tab w:val="num" w:pos="1980"/>
              </w:tabs>
              <w:spacing w:after="120" w:line="300" w:lineRule="auto"/>
              <w:ind w:hanging="720"/>
              <w:jc w:val="both"/>
              <w:rPr>
                <w:rFonts w:ascii="Arial" w:hAnsi="Arial" w:cs="Arial"/>
              </w:rPr>
            </w:pPr>
            <w:r w:rsidRPr="000C3C79">
              <w:rPr>
                <w:rFonts w:ascii="Arial" w:hAnsi="Arial" w:cs="Arial"/>
              </w:rPr>
              <w:t>Registered owner of the property;</w:t>
            </w:r>
          </w:p>
          <w:p w:rsidR="000A3BEC" w:rsidRPr="000C3C79" w:rsidRDefault="000A3BEC" w:rsidP="0012483E">
            <w:pPr>
              <w:numPr>
                <w:ilvl w:val="0"/>
                <w:numId w:val="12"/>
              </w:numPr>
              <w:tabs>
                <w:tab w:val="clear" w:pos="2340"/>
                <w:tab w:val="num" w:pos="1980"/>
              </w:tabs>
              <w:spacing w:after="120" w:line="300" w:lineRule="auto"/>
              <w:ind w:hanging="720"/>
              <w:jc w:val="both"/>
              <w:rPr>
                <w:rFonts w:ascii="Arial" w:hAnsi="Arial" w:cs="Arial"/>
              </w:rPr>
            </w:pPr>
            <w:r w:rsidRPr="000C3C79">
              <w:rPr>
                <w:rFonts w:ascii="Arial" w:hAnsi="Arial" w:cs="Arial"/>
              </w:rPr>
              <w:t>Must reside on the property;</w:t>
            </w:r>
          </w:p>
          <w:p w:rsidR="000A3BEC" w:rsidRPr="000C3C79" w:rsidRDefault="000A3BEC" w:rsidP="0012483E">
            <w:pPr>
              <w:numPr>
                <w:ilvl w:val="0"/>
                <w:numId w:val="12"/>
              </w:numPr>
              <w:tabs>
                <w:tab w:val="clear" w:pos="2340"/>
                <w:tab w:val="num" w:pos="1980"/>
              </w:tabs>
              <w:spacing w:after="120" w:line="300" w:lineRule="auto"/>
              <w:ind w:left="1980"/>
              <w:jc w:val="both"/>
              <w:rPr>
                <w:rFonts w:ascii="Arial" w:hAnsi="Arial" w:cs="Arial"/>
              </w:rPr>
            </w:pPr>
            <w:r w:rsidRPr="000C3C79">
              <w:rPr>
                <w:rFonts w:ascii="Arial" w:hAnsi="Arial" w:cs="Arial"/>
              </w:rPr>
              <w:t>Income must not exceed an amount annually set by the Council; and</w:t>
            </w:r>
          </w:p>
          <w:p w:rsidR="00E74B99" w:rsidRPr="00E74B99" w:rsidRDefault="000A3BEC" w:rsidP="0012483E">
            <w:pPr>
              <w:numPr>
                <w:ilvl w:val="0"/>
                <w:numId w:val="12"/>
              </w:numPr>
              <w:tabs>
                <w:tab w:val="clear" w:pos="2340"/>
                <w:tab w:val="num" w:pos="1980"/>
              </w:tabs>
              <w:spacing w:after="120" w:line="300" w:lineRule="auto"/>
              <w:ind w:left="1980"/>
              <w:jc w:val="both"/>
              <w:rPr>
                <w:rFonts w:ascii="Arial" w:hAnsi="Arial" w:cs="Arial"/>
              </w:rPr>
            </w:pPr>
            <w:r w:rsidRPr="00E74B99">
              <w:rPr>
                <w:rFonts w:ascii="Arial" w:hAnsi="Arial" w:cs="Arial"/>
              </w:rPr>
              <w:t xml:space="preserve">Applications for the rebate must be submitted before 30 June. Late applications will be considered by the Director of Financial Services. </w:t>
            </w:r>
          </w:p>
          <w:p w:rsidR="00E74B99" w:rsidRPr="00E74B99" w:rsidRDefault="00E74B99" w:rsidP="0012483E">
            <w:pPr>
              <w:numPr>
                <w:ilvl w:val="0"/>
                <w:numId w:val="12"/>
              </w:numPr>
              <w:tabs>
                <w:tab w:val="clear" w:pos="2340"/>
                <w:tab w:val="num" w:pos="1980"/>
              </w:tabs>
              <w:spacing w:after="120" w:line="300" w:lineRule="auto"/>
              <w:ind w:left="1985" w:hanging="365"/>
              <w:jc w:val="both"/>
              <w:rPr>
                <w:rFonts w:ascii="Arial" w:hAnsi="Arial" w:cs="Arial"/>
                <w:strike/>
              </w:rPr>
            </w:pPr>
            <w:r w:rsidRPr="00E74B99">
              <w:rPr>
                <w:rFonts w:ascii="Arial" w:hAnsi="Arial" w:cs="Arial"/>
                <w:strike/>
              </w:rPr>
              <w:lastRenderedPageBreak/>
              <w:t>Owners of agricultural property should be taxed by SARS as a farmer and the most recent tax assessment must be provided as proof. Where the owner is not taxed as a farmer, proof is required that income from farming activities exceeds 40% of the household income. Proof in the form of the last tax return must be submitted.</w:t>
            </w:r>
          </w:p>
          <w:p w:rsidR="000A3BEC" w:rsidRPr="00B63A28" w:rsidRDefault="000A3BEC" w:rsidP="0012483E">
            <w:pPr>
              <w:numPr>
                <w:ilvl w:val="0"/>
                <w:numId w:val="12"/>
              </w:numPr>
              <w:tabs>
                <w:tab w:val="clear" w:pos="2340"/>
                <w:tab w:val="num" w:pos="1980"/>
              </w:tabs>
              <w:spacing w:after="120" w:line="300" w:lineRule="auto"/>
              <w:ind w:left="1980"/>
              <w:jc w:val="both"/>
              <w:rPr>
                <w:rFonts w:ascii="Arial" w:hAnsi="Arial" w:cs="Arial"/>
              </w:rPr>
            </w:pPr>
            <w:r w:rsidRPr="000A3BEC">
              <w:rPr>
                <w:rFonts w:ascii="Arial" w:hAnsi="Arial" w:cs="Arial"/>
                <w:i/>
              </w:rPr>
              <w:t>Agricultural property (excluding mixed use and game farming) and state owned property rebates will automatically be applied based on the classification of the property in the valuation</w:t>
            </w:r>
            <w:r>
              <w:rPr>
                <w:rFonts w:ascii="Arial" w:hAnsi="Arial" w:cs="Arial"/>
              </w:rPr>
              <w:t xml:space="preserve"> roll. </w:t>
            </w:r>
          </w:p>
          <w:p w:rsidR="0096500C" w:rsidRPr="00B41218" w:rsidRDefault="0096500C" w:rsidP="009A610C">
            <w:pPr>
              <w:tabs>
                <w:tab w:val="left" w:pos="426"/>
              </w:tabs>
              <w:spacing w:line="24" w:lineRule="atLeast"/>
              <w:rPr>
                <w:rFonts w:ascii="Arial" w:hAnsi="Arial" w:cs="Arial"/>
              </w:rPr>
            </w:pPr>
          </w:p>
        </w:tc>
      </w:tr>
      <w:tr w:rsidR="00742148" w:rsidTr="009A610C">
        <w:tc>
          <w:tcPr>
            <w:tcW w:w="4786" w:type="dxa"/>
            <w:tcBorders>
              <w:top w:val="nil"/>
              <w:bottom w:val="single" w:sz="4" w:space="0" w:color="auto"/>
            </w:tcBorders>
          </w:tcPr>
          <w:p w:rsidR="00742148" w:rsidRPr="00861F87" w:rsidRDefault="00742148" w:rsidP="009A610C">
            <w:pPr>
              <w:tabs>
                <w:tab w:val="left" w:pos="1134"/>
              </w:tabs>
              <w:spacing w:after="120" w:line="24" w:lineRule="atLeast"/>
              <w:jc w:val="both"/>
              <w:rPr>
                <w:rFonts w:ascii="Arial" w:hAnsi="Arial" w:cs="Arial"/>
                <w:dstrike/>
              </w:rPr>
            </w:pPr>
          </w:p>
        </w:tc>
        <w:tc>
          <w:tcPr>
            <w:tcW w:w="4762" w:type="dxa"/>
            <w:tcBorders>
              <w:top w:val="nil"/>
              <w:bottom w:val="single" w:sz="4" w:space="0" w:color="auto"/>
            </w:tcBorders>
          </w:tcPr>
          <w:p w:rsidR="00742148" w:rsidRPr="00B41218" w:rsidRDefault="00742148" w:rsidP="009A610C">
            <w:pPr>
              <w:tabs>
                <w:tab w:val="left" w:pos="426"/>
              </w:tabs>
              <w:spacing w:line="24" w:lineRule="atLeast"/>
              <w:rPr>
                <w:rFonts w:ascii="Arial" w:hAnsi="Arial" w:cs="Arial"/>
              </w:rPr>
            </w:pPr>
          </w:p>
        </w:tc>
      </w:tr>
    </w:tbl>
    <w:p w:rsidR="0096500C" w:rsidRDefault="0096500C" w:rsidP="0096500C">
      <w:pPr>
        <w:spacing w:after="0" w:line="24" w:lineRule="atLeast"/>
        <w:ind w:left="540" w:hanging="540"/>
        <w:rPr>
          <w:sz w:val="24"/>
          <w:lang w:val="af-ZA"/>
        </w:rPr>
      </w:pPr>
    </w:p>
    <w:p w:rsidR="00851B18" w:rsidRDefault="00851B18" w:rsidP="00955104">
      <w:pPr>
        <w:jc w:val="both"/>
        <w:rPr>
          <w:b/>
          <w:sz w:val="28"/>
        </w:rPr>
      </w:pPr>
    </w:p>
    <w:p w:rsidR="00B55E69" w:rsidRPr="00EE53FF" w:rsidRDefault="00B55E69" w:rsidP="00B55E69">
      <w:pPr>
        <w:jc w:val="both"/>
        <w:rPr>
          <w:b/>
          <w:sz w:val="28"/>
        </w:rPr>
      </w:pPr>
      <w:r>
        <w:rPr>
          <w:b/>
          <w:sz w:val="28"/>
        </w:rPr>
        <w:t>CREDIT CONTROL</w:t>
      </w:r>
      <w:r w:rsidRPr="00EE53FF">
        <w:rPr>
          <w:b/>
          <w:sz w:val="28"/>
        </w:rPr>
        <w:t xml:space="preserve"> </w:t>
      </w:r>
      <w:r>
        <w:rPr>
          <w:b/>
          <w:sz w:val="28"/>
        </w:rPr>
        <w:t xml:space="preserve">AND DEBT COLLECTION </w:t>
      </w:r>
      <w:r w:rsidRPr="00EE53FF">
        <w:rPr>
          <w:b/>
          <w:sz w:val="28"/>
        </w:rPr>
        <w:t>POLICY:</w:t>
      </w:r>
    </w:p>
    <w:tbl>
      <w:tblPr>
        <w:tblStyle w:val="TableGrid"/>
        <w:tblW w:w="0" w:type="auto"/>
        <w:tblLook w:val="04A0" w:firstRow="1" w:lastRow="0" w:firstColumn="1" w:lastColumn="0" w:noHBand="0" w:noVBand="1"/>
      </w:tblPr>
      <w:tblGrid>
        <w:gridCol w:w="4928"/>
        <w:gridCol w:w="4620"/>
      </w:tblGrid>
      <w:tr w:rsidR="00B55E69" w:rsidTr="00F41195">
        <w:tc>
          <w:tcPr>
            <w:tcW w:w="4928" w:type="dxa"/>
            <w:tcBorders>
              <w:bottom w:val="single" w:sz="4" w:space="0" w:color="auto"/>
            </w:tcBorders>
            <w:shd w:val="clear" w:color="auto" w:fill="D9D9D9" w:themeFill="background1" w:themeFillShade="D9"/>
          </w:tcPr>
          <w:p w:rsidR="00B55E69" w:rsidRPr="00FE1EB5" w:rsidRDefault="00B55E69" w:rsidP="00F41195">
            <w:pPr>
              <w:spacing w:before="60" w:after="60"/>
              <w:jc w:val="both"/>
              <w:rPr>
                <w:b/>
                <w:sz w:val="24"/>
              </w:rPr>
            </w:pPr>
            <w:r w:rsidRPr="00FE1EB5">
              <w:rPr>
                <w:b/>
                <w:sz w:val="24"/>
              </w:rPr>
              <w:t>CURRENT POLICY</w:t>
            </w:r>
          </w:p>
        </w:tc>
        <w:tc>
          <w:tcPr>
            <w:tcW w:w="4620" w:type="dxa"/>
            <w:tcBorders>
              <w:bottom w:val="single" w:sz="4" w:space="0" w:color="auto"/>
            </w:tcBorders>
            <w:shd w:val="clear" w:color="auto" w:fill="D9D9D9" w:themeFill="background1" w:themeFillShade="D9"/>
          </w:tcPr>
          <w:p w:rsidR="00B55E69" w:rsidRPr="00FE1EB5" w:rsidRDefault="00B55E69" w:rsidP="00F41195">
            <w:pPr>
              <w:spacing w:before="60" w:after="60"/>
              <w:jc w:val="both"/>
              <w:rPr>
                <w:b/>
                <w:sz w:val="24"/>
              </w:rPr>
            </w:pPr>
            <w:r w:rsidRPr="00FE1EB5">
              <w:rPr>
                <w:b/>
                <w:sz w:val="24"/>
              </w:rPr>
              <w:t>RECOMMENDED ALTERATIONS</w:t>
            </w:r>
          </w:p>
        </w:tc>
      </w:tr>
      <w:tr w:rsidR="00B55E69" w:rsidTr="00F41195">
        <w:tc>
          <w:tcPr>
            <w:tcW w:w="4928" w:type="dxa"/>
            <w:tcBorders>
              <w:top w:val="single" w:sz="4" w:space="0" w:color="auto"/>
              <w:bottom w:val="nil"/>
            </w:tcBorders>
          </w:tcPr>
          <w:p w:rsidR="00B55E69" w:rsidRPr="00CA5A34" w:rsidRDefault="00B55E69" w:rsidP="00F41195">
            <w:pPr>
              <w:pStyle w:val="Heading3"/>
              <w:tabs>
                <w:tab w:val="left" w:pos="709"/>
                <w:tab w:val="left" w:pos="990"/>
              </w:tabs>
              <w:spacing w:before="0" w:after="200" w:line="288" w:lineRule="auto"/>
              <w:ind w:left="1418" w:hanging="1418"/>
              <w:jc w:val="both"/>
              <w:outlineLvl w:val="2"/>
              <w:rPr>
                <w:b/>
                <w:i/>
              </w:rPr>
            </w:pPr>
            <w:bookmarkStart w:id="1" w:name="_Toc37137252"/>
            <w:bookmarkStart w:id="2" w:name="_Toc37233343"/>
            <w:bookmarkStart w:id="3" w:name="_Toc37233731"/>
            <w:r>
              <w:rPr>
                <w:b/>
                <w:i/>
              </w:rPr>
              <w:t>6.3</w:t>
            </w:r>
            <w:r w:rsidRPr="00375CB3">
              <w:rPr>
                <w:b/>
                <w:i/>
              </w:rPr>
              <w:tab/>
            </w:r>
            <w:bookmarkEnd w:id="1"/>
            <w:bookmarkEnd w:id="2"/>
            <w:bookmarkEnd w:id="3"/>
            <w:r w:rsidRPr="00375CB3">
              <w:rPr>
                <w:b/>
                <w:i/>
              </w:rPr>
              <w:t>Disconnection of service(s)</w:t>
            </w:r>
          </w:p>
        </w:tc>
        <w:tc>
          <w:tcPr>
            <w:tcW w:w="4620" w:type="dxa"/>
            <w:tcBorders>
              <w:top w:val="single" w:sz="4" w:space="0" w:color="auto"/>
              <w:bottom w:val="nil"/>
            </w:tcBorders>
          </w:tcPr>
          <w:p w:rsidR="00B55E69" w:rsidRPr="00CA5A34" w:rsidRDefault="00B55E69" w:rsidP="00F41195">
            <w:pPr>
              <w:pStyle w:val="Heading3"/>
              <w:tabs>
                <w:tab w:val="left" w:pos="709"/>
                <w:tab w:val="left" w:pos="990"/>
              </w:tabs>
              <w:spacing w:before="0" w:after="200" w:line="288" w:lineRule="auto"/>
              <w:ind w:left="1418" w:hanging="1418"/>
              <w:jc w:val="both"/>
              <w:outlineLvl w:val="2"/>
              <w:rPr>
                <w:b/>
                <w:i/>
              </w:rPr>
            </w:pPr>
            <w:r>
              <w:rPr>
                <w:b/>
                <w:i/>
              </w:rPr>
              <w:t>6.3</w:t>
            </w:r>
            <w:r w:rsidRPr="00375CB3">
              <w:rPr>
                <w:b/>
                <w:i/>
              </w:rPr>
              <w:tab/>
              <w:t>Disconnection of service(s)</w:t>
            </w:r>
          </w:p>
        </w:tc>
      </w:tr>
      <w:tr w:rsidR="00B55E69" w:rsidTr="00F41195">
        <w:tc>
          <w:tcPr>
            <w:tcW w:w="4928" w:type="dxa"/>
            <w:tcBorders>
              <w:top w:val="nil"/>
              <w:bottom w:val="nil"/>
            </w:tcBorders>
          </w:tcPr>
          <w:p w:rsidR="00B55E69" w:rsidRDefault="00B55E69" w:rsidP="00F41195">
            <w:pPr>
              <w:tabs>
                <w:tab w:val="left" w:pos="990"/>
              </w:tabs>
              <w:spacing w:after="200" w:line="288" w:lineRule="auto"/>
              <w:ind w:left="1418" w:hanging="709"/>
              <w:jc w:val="both"/>
              <w:rPr>
                <w:rFonts w:ascii="Arial" w:hAnsi="Arial"/>
              </w:rPr>
            </w:pPr>
            <w:r>
              <w:rPr>
                <w:rFonts w:ascii="Arial" w:hAnsi="Arial"/>
              </w:rPr>
              <w:t>(g)</w:t>
            </w:r>
            <w:r>
              <w:rPr>
                <w:rFonts w:ascii="Arial" w:hAnsi="Arial"/>
              </w:rPr>
              <w:tab/>
            </w:r>
            <w:r>
              <w:rPr>
                <w:rFonts w:ascii="Arial" w:hAnsi="Arial"/>
              </w:rPr>
              <w:tab/>
              <w:t>After suspension of services, clients still have to make arrangements and must pay a re-connection fee, as determined by Council, together with the current levy and at least 5% of the outstanding amount before services will be re-connected.</w:t>
            </w:r>
          </w:p>
          <w:p w:rsidR="00B55E69" w:rsidRPr="00CA5A34" w:rsidRDefault="00B55E69" w:rsidP="00F41195">
            <w:pPr>
              <w:spacing w:before="60" w:after="60"/>
              <w:ind w:left="540" w:hanging="540"/>
              <w:rPr>
                <w:rFonts w:ascii="Arial" w:hAnsi="Arial" w:cs="Arial"/>
              </w:rPr>
            </w:pPr>
          </w:p>
        </w:tc>
        <w:tc>
          <w:tcPr>
            <w:tcW w:w="4620" w:type="dxa"/>
            <w:tcBorders>
              <w:top w:val="nil"/>
              <w:bottom w:val="nil"/>
            </w:tcBorders>
          </w:tcPr>
          <w:p w:rsidR="00B55E69" w:rsidRPr="00474AA8" w:rsidRDefault="00B55E69" w:rsidP="00F41195">
            <w:pPr>
              <w:tabs>
                <w:tab w:val="left" w:pos="990"/>
              </w:tabs>
              <w:spacing w:after="200" w:line="288" w:lineRule="auto"/>
              <w:ind w:left="1418" w:hanging="709"/>
              <w:jc w:val="both"/>
              <w:rPr>
                <w:rFonts w:ascii="Arial" w:hAnsi="Arial"/>
                <w:b/>
                <w:i/>
              </w:rPr>
            </w:pPr>
            <w:r>
              <w:rPr>
                <w:rFonts w:ascii="Arial" w:hAnsi="Arial"/>
              </w:rPr>
              <w:t>(g)</w:t>
            </w:r>
            <w:r>
              <w:rPr>
                <w:rFonts w:ascii="Arial" w:hAnsi="Arial"/>
              </w:rPr>
              <w:tab/>
            </w:r>
            <w:r>
              <w:rPr>
                <w:rFonts w:ascii="Arial" w:hAnsi="Arial"/>
              </w:rPr>
              <w:tab/>
              <w:t xml:space="preserve">After suspension of services, clients still have to make arrangements and must pay a re-connection fee, as determined by Council, together with the current levy and at least 5% of the outstanding amount before services will be re-connected. </w:t>
            </w:r>
            <w:r w:rsidRPr="00474AA8">
              <w:rPr>
                <w:rFonts w:ascii="Arial" w:hAnsi="Arial"/>
                <w:b/>
                <w:i/>
              </w:rPr>
              <w:t xml:space="preserve">Clients that have defaulted on an arrangement in the </w:t>
            </w:r>
            <w:r w:rsidRPr="00474AA8">
              <w:rPr>
                <w:rFonts w:ascii="Arial" w:hAnsi="Arial"/>
                <w:b/>
                <w:i/>
              </w:rPr>
              <w:lastRenderedPageBreak/>
              <w:t>previous six month will have to pay full amount due in order to avoid disconnection.</w:t>
            </w:r>
          </w:p>
          <w:p w:rsidR="00B55E69" w:rsidRPr="00474AA8" w:rsidRDefault="00B55E69" w:rsidP="00F41195">
            <w:pPr>
              <w:tabs>
                <w:tab w:val="left" w:pos="990"/>
              </w:tabs>
              <w:spacing w:after="200" w:line="288" w:lineRule="auto"/>
              <w:ind w:left="1418" w:hanging="709"/>
              <w:jc w:val="both"/>
              <w:rPr>
                <w:rFonts w:ascii="Arial" w:hAnsi="Arial"/>
                <w:i/>
              </w:rPr>
            </w:pPr>
            <w:r>
              <w:rPr>
                <w:rFonts w:ascii="Arial" w:hAnsi="Arial"/>
              </w:rPr>
              <w:t>(k)</w:t>
            </w:r>
            <w:r>
              <w:rPr>
                <w:rFonts w:ascii="Arial" w:hAnsi="Arial"/>
              </w:rPr>
              <w:tab/>
            </w:r>
            <w:r>
              <w:rPr>
                <w:rFonts w:ascii="Arial" w:hAnsi="Arial"/>
              </w:rPr>
              <w:tab/>
            </w:r>
            <w:r w:rsidRPr="00474AA8">
              <w:rPr>
                <w:rFonts w:ascii="Arial" w:hAnsi="Arial"/>
                <w:i/>
              </w:rPr>
              <w:t>The municipality would normally only enter into arrangements with the registered owners, but may enter into an arrangement with a tenant or occupier if</w:t>
            </w:r>
            <w:r w:rsidRPr="00474AA8">
              <w:rPr>
                <w:i/>
              </w:rPr>
              <w:t xml:space="preserve"> </w:t>
            </w:r>
            <w:r w:rsidRPr="00474AA8">
              <w:rPr>
                <w:rFonts w:ascii="Arial" w:hAnsi="Arial"/>
                <w:i/>
              </w:rPr>
              <w:t>written permission is obtained from the registered owner:</w:t>
            </w:r>
          </w:p>
          <w:p w:rsidR="00B55E69" w:rsidRPr="00474AA8" w:rsidRDefault="00B55E69" w:rsidP="0012483E">
            <w:pPr>
              <w:pStyle w:val="ListParagraph"/>
              <w:numPr>
                <w:ilvl w:val="2"/>
                <w:numId w:val="21"/>
              </w:numPr>
              <w:tabs>
                <w:tab w:val="left" w:pos="990"/>
              </w:tabs>
              <w:spacing w:after="200" w:line="288" w:lineRule="auto"/>
              <w:ind w:left="2268" w:hanging="850"/>
              <w:jc w:val="both"/>
              <w:rPr>
                <w:rFonts w:ascii="Arial" w:hAnsi="Arial"/>
                <w:i/>
              </w:rPr>
            </w:pPr>
            <w:r w:rsidRPr="00474AA8">
              <w:rPr>
                <w:rFonts w:ascii="Arial" w:hAnsi="Arial"/>
                <w:i/>
              </w:rPr>
              <w:t>authorising the tenant to enter into an arrangement in terms of this policy; and</w:t>
            </w:r>
          </w:p>
          <w:p w:rsidR="00B55E69" w:rsidRPr="00474AA8" w:rsidRDefault="00B55E69" w:rsidP="0012483E">
            <w:pPr>
              <w:pStyle w:val="ListParagraph"/>
              <w:numPr>
                <w:ilvl w:val="2"/>
                <w:numId w:val="21"/>
              </w:numPr>
              <w:tabs>
                <w:tab w:val="left" w:pos="990"/>
              </w:tabs>
              <w:spacing w:after="200" w:line="288" w:lineRule="auto"/>
              <w:ind w:left="1418" w:firstLine="0"/>
              <w:jc w:val="both"/>
              <w:rPr>
                <w:rFonts w:ascii="Arial" w:hAnsi="Arial"/>
                <w:i/>
              </w:rPr>
            </w:pPr>
            <w:r w:rsidRPr="00474AA8">
              <w:rPr>
                <w:rFonts w:ascii="Arial" w:hAnsi="Arial"/>
                <w:i/>
              </w:rPr>
              <w:t xml:space="preserve"> </w:t>
            </w:r>
            <w:proofErr w:type="gramStart"/>
            <w:r w:rsidRPr="00474AA8">
              <w:rPr>
                <w:rFonts w:ascii="Arial" w:hAnsi="Arial"/>
                <w:i/>
              </w:rPr>
              <w:t>authorising</w:t>
            </w:r>
            <w:proofErr w:type="gramEnd"/>
            <w:r w:rsidRPr="00474AA8">
              <w:rPr>
                <w:rFonts w:ascii="Arial" w:hAnsi="Arial"/>
                <w:i/>
              </w:rPr>
              <w:t xml:space="preserve"> the reconnection or restoration of any service.</w:t>
            </w:r>
          </w:p>
          <w:p w:rsidR="00B55E69" w:rsidRPr="00474AA8" w:rsidRDefault="00B55E69" w:rsidP="00F41195">
            <w:pPr>
              <w:tabs>
                <w:tab w:val="left" w:pos="990"/>
              </w:tabs>
              <w:spacing w:after="200" w:line="288" w:lineRule="auto"/>
              <w:ind w:left="1418" w:hanging="709"/>
              <w:jc w:val="both"/>
              <w:rPr>
                <w:rFonts w:ascii="Arial" w:hAnsi="Arial"/>
                <w:i/>
              </w:rPr>
            </w:pPr>
            <w:r w:rsidRPr="00474AA8">
              <w:rPr>
                <w:rFonts w:ascii="Arial" w:hAnsi="Arial"/>
                <w:i/>
              </w:rPr>
              <w:t>(l)</w:t>
            </w:r>
            <w:r w:rsidRPr="00474AA8">
              <w:rPr>
                <w:rFonts w:ascii="Arial" w:hAnsi="Arial"/>
                <w:i/>
              </w:rPr>
              <w:tab/>
            </w:r>
            <w:r w:rsidRPr="00474AA8">
              <w:rPr>
                <w:rFonts w:ascii="Arial" w:hAnsi="Arial"/>
                <w:i/>
              </w:rPr>
              <w:tab/>
              <w:t>The municipality may restrict, disconnect or discontinue any service to a property;</w:t>
            </w:r>
          </w:p>
          <w:p w:rsidR="00B55E69" w:rsidRPr="00474AA8" w:rsidRDefault="00B55E69" w:rsidP="0012483E">
            <w:pPr>
              <w:pStyle w:val="ListParagraph"/>
              <w:numPr>
                <w:ilvl w:val="2"/>
                <w:numId w:val="21"/>
              </w:numPr>
              <w:tabs>
                <w:tab w:val="left" w:pos="990"/>
              </w:tabs>
              <w:spacing w:after="200" w:line="288" w:lineRule="auto"/>
              <w:ind w:left="2268" w:hanging="850"/>
              <w:jc w:val="both"/>
              <w:rPr>
                <w:rFonts w:ascii="Arial" w:hAnsi="Arial"/>
                <w:i/>
              </w:rPr>
            </w:pPr>
            <w:r w:rsidRPr="00474AA8">
              <w:rPr>
                <w:rFonts w:ascii="Arial" w:hAnsi="Arial"/>
                <w:i/>
              </w:rPr>
              <w:t>if the registered owner withdraws, in writing, any permission granted in terms of sub-item (k) where the tenant has defaulted on the arrangement made; and</w:t>
            </w:r>
          </w:p>
          <w:p w:rsidR="00B55E69" w:rsidRPr="00474AA8" w:rsidRDefault="00B55E69" w:rsidP="0012483E">
            <w:pPr>
              <w:pStyle w:val="ListParagraph"/>
              <w:numPr>
                <w:ilvl w:val="2"/>
                <w:numId w:val="21"/>
              </w:numPr>
              <w:tabs>
                <w:tab w:val="left" w:pos="990"/>
              </w:tabs>
              <w:spacing w:after="200" w:line="288" w:lineRule="auto"/>
              <w:ind w:left="2268" w:hanging="850"/>
              <w:jc w:val="both"/>
              <w:rPr>
                <w:rFonts w:ascii="Arial" w:hAnsi="Arial"/>
                <w:i/>
              </w:rPr>
            </w:pPr>
            <w:proofErr w:type="gramStart"/>
            <w:r w:rsidRPr="00474AA8">
              <w:rPr>
                <w:rFonts w:ascii="Arial" w:hAnsi="Arial"/>
                <w:i/>
              </w:rPr>
              <w:t>no</w:t>
            </w:r>
            <w:proofErr w:type="gramEnd"/>
            <w:r w:rsidRPr="00474AA8">
              <w:rPr>
                <w:rFonts w:ascii="Arial" w:hAnsi="Arial"/>
                <w:i/>
              </w:rPr>
              <w:t xml:space="preserve"> new application for any service to the property will be authorised until all the arrears have been settled in full.</w:t>
            </w:r>
          </w:p>
          <w:p w:rsidR="00B55E69" w:rsidRPr="00CA5A34" w:rsidRDefault="00B55E69" w:rsidP="00F41195">
            <w:pPr>
              <w:spacing w:before="60" w:after="60"/>
              <w:ind w:left="540" w:hanging="540"/>
              <w:rPr>
                <w:rFonts w:ascii="Arial" w:hAnsi="Arial" w:cs="Arial"/>
              </w:rPr>
            </w:pPr>
          </w:p>
        </w:tc>
      </w:tr>
      <w:tr w:rsidR="00B55E69" w:rsidTr="00F41195">
        <w:tc>
          <w:tcPr>
            <w:tcW w:w="4928" w:type="dxa"/>
            <w:tcBorders>
              <w:top w:val="nil"/>
              <w:bottom w:val="nil"/>
            </w:tcBorders>
          </w:tcPr>
          <w:p w:rsidR="00B55E69" w:rsidRDefault="00B55E69" w:rsidP="00F41195">
            <w:pPr>
              <w:tabs>
                <w:tab w:val="left" w:pos="990"/>
              </w:tabs>
              <w:spacing w:line="288" w:lineRule="auto"/>
              <w:ind w:left="1418" w:hanging="709"/>
              <w:jc w:val="both"/>
              <w:rPr>
                <w:rFonts w:ascii="Arial" w:hAnsi="Arial"/>
              </w:rPr>
            </w:pPr>
          </w:p>
        </w:tc>
        <w:tc>
          <w:tcPr>
            <w:tcW w:w="4620" w:type="dxa"/>
            <w:tcBorders>
              <w:top w:val="nil"/>
              <w:bottom w:val="nil"/>
            </w:tcBorders>
          </w:tcPr>
          <w:p w:rsidR="00B55E69" w:rsidRDefault="00B55E69" w:rsidP="00F41195">
            <w:pPr>
              <w:tabs>
                <w:tab w:val="left" w:pos="990"/>
              </w:tabs>
              <w:spacing w:line="288" w:lineRule="auto"/>
              <w:ind w:left="1418" w:hanging="709"/>
              <w:jc w:val="both"/>
              <w:rPr>
                <w:rFonts w:ascii="Arial" w:hAnsi="Arial"/>
              </w:rPr>
            </w:pPr>
          </w:p>
        </w:tc>
      </w:tr>
      <w:tr w:rsidR="00B55E69" w:rsidTr="00F41195">
        <w:tc>
          <w:tcPr>
            <w:tcW w:w="4928" w:type="dxa"/>
            <w:tcBorders>
              <w:top w:val="nil"/>
              <w:bottom w:val="single" w:sz="4" w:space="0" w:color="auto"/>
            </w:tcBorders>
          </w:tcPr>
          <w:p w:rsidR="00B55E69" w:rsidRDefault="00B55E69" w:rsidP="00F41195">
            <w:pPr>
              <w:tabs>
                <w:tab w:val="left" w:pos="990"/>
              </w:tabs>
              <w:spacing w:line="288" w:lineRule="auto"/>
              <w:ind w:left="1418" w:hanging="709"/>
              <w:jc w:val="both"/>
              <w:rPr>
                <w:rFonts w:ascii="Arial" w:hAnsi="Arial"/>
              </w:rPr>
            </w:pPr>
          </w:p>
        </w:tc>
        <w:tc>
          <w:tcPr>
            <w:tcW w:w="4620" w:type="dxa"/>
            <w:tcBorders>
              <w:top w:val="nil"/>
              <w:bottom w:val="single" w:sz="4" w:space="0" w:color="auto"/>
            </w:tcBorders>
          </w:tcPr>
          <w:p w:rsidR="00B55E69" w:rsidRDefault="00B55E69" w:rsidP="00F41195">
            <w:pPr>
              <w:tabs>
                <w:tab w:val="left" w:pos="990"/>
              </w:tabs>
              <w:spacing w:line="288" w:lineRule="auto"/>
              <w:ind w:left="1418" w:hanging="709"/>
              <w:jc w:val="both"/>
              <w:rPr>
                <w:rFonts w:ascii="Arial" w:hAnsi="Arial"/>
              </w:rPr>
            </w:pPr>
          </w:p>
        </w:tc>
      </w:tr>
    </w:tbl>
    <w:p w:rsidR="00B55E69" w:rsidRDefault="00B55E69" w:rsidP="00B55E69">
      <w:pPr>
        <w:spacing w:after="0" w:line="24" w:lineRule="atLeast"/>
        <w:ind w:left="540" w:hanging="540"/>
        <w:rPr>
          <w:rFonts w:ascii="Arial" w:hAnsi="Arial" w:cs="Arial"/>
        </w:rPr>
      </w:pPr>
    </w:p>
    <w:p w:rsidR="00851B18" w:rsidRDefault="00851B18" w:rsidP="00955104">
      <w:pPr>
        <w:jc w:val="both"/>
        <w:rPr>
          <w:b/>
          <w:sz w:val="28"/>
        </w:rPr>
      </w:pPr>
    </w:p>
    <w:p w:rsidR="00B55E69" w:rsidRDefault="00B55E69" w:rsidP="00955104">
      <w:pPr>
        <w:jc w:val="both"/>
        <w:rPr>
          <w:b/>
          <w:sz w:val="28"/>
        </w:rPr>
      </w:pPr>
    </w:p>
    <w:p w:rsidR="00B55E69" w:rsidRDefault="00B55E69" w:rsidP="00955104">
      <w:pPr>
        <w:jc w:val="both"/>
        <w:rPr>
          <w:b/>
          <w:sz w:val="28"/>
        </w:rPr>
      </w:pPr>
    </w:p>
    <w:p w:rsidR="00B55E69" w:rsidRDefault="00B55E69" w:rsidP="00955104">
      <w:pPr>
        <w:jc w:val="both"/>
        <w:rPr>
          <w:b/>
          <w:sz w:val="28"/>
        </w:rPr>
      </w:pPr>
    </w:p>
    <w:p w:rsidR="00851B18" w:rsidRDefault="00851B18" w:rsidP="00955104">
      <w:pPr>
        <w:jc w:val="both"/>
        <w:rPr>
          <w:b/>
          <w:sz w:val="28"/>
        </w:rPr>
      </w:pPr>
    </w:p>
    <w:p w:rsidR="00955104" w:rsidRPr="00EE53FF" w:rsidRDefault="00955104" w:rsidP="00955104">
      <w:pPr>
        <w:jc w:val="both"/>
        <w:rPr>
          <w:b/>
          <w:sz w:val="28"/>
        </w:rPr>
      </w:pPr>
      <w:r>
        <w:rPr>
          <w:b/>
          <w:sz w:val="28"/>
        </w:rPr>
        <w:t>BANKING, CASH AND INVESTMENT POLICY</w:t>
      </w:r>
    </w:p>
    <w:p w:rsidR="00955104" w:rsidRDefault="00955104" w:rsidP="00955104">
      <w:pPr>
        <w:spacing w:after="0" w:line="24" w:lineRule="atLeast"/>
        <w:ind w:left="540" w:hanging="540"/>
        <w:rPr>
          <w:rFonts w:ascii="Arial" w:hAnsi="Arial" w:cs="Arial"/>
        </w:rPr>
      </w:pPr>
    </w:p>
    <w:tbl>
      <w:tblPr>
        <w:tblStyle w:val="TableGrid"/>
        <w:tblW w:w="0" w:type="auto"/>
        <w:tblLayout w:type="fixed"/>
        <w:tblLook w:val="04A0" w:firstRow="1" w:lastRow="0" w:firstColumn="1" w:lastColumn="0" w:noHBand="0" w:noVBand="1"/>
      </w:tblPr>
      <w:tblGrid>
        <w:gridCol w:w="4786"/>
        <w:gridCol w:w="4762"/>
      </w:tblGrid>
      <w:tr w:rsidR="00955104" w:rsidTr="00C4736A">
        <w:tc>
          <w:tcPr>
            <w:tcW w:w="4786" w:type="dxa"/>
            <w:tcBorders>
              <w:bottom w:val="single" w:sz="4" w:space="0" w:color="auto"/>
            </w:tcBorders>
            <w:shd w:val="clear" w:color="auto" w:fill="D9D9D9" w:themeFill="background1" w:themeFillShade="D9"/>
          </w:tcPr>
          <w:p w:rsidR="00955104" w:rsidRPr="00FE1EB5" w:rsidRDefault="00955104" w:rsidP="00C4736A">
            <w:pPr>
              <w:spacing w:before="60" w:after="60"/>
              <w:jc w:val="both"/>
              <w:rPr>
                <w:b/>
                <w:sz w:val="24"/>
              </w:rPr>
            </w:pPr>
            <w:r w:rsidRPr="00FE1EB5">
              <w:rPr>
                <w:b/>
                <w:sz w:val="24"/>
              </w:rPr>
              <w:t>CURRENT POLICY</w:t>
            </w:r>
          </w:p>
        </w:tc>
        <w:tc>
          <w:tcPr>
            <w:tcW w:w="4762" w:type="dxa"/>
            <w:tcBorders>
              <w:bottom w:val="single" w:sz="4" w:space="0" w:color="auto"/>
            </w:tcBorders>
            <w:shd w:val="clear" w:color="auto" w:fill="D9D9D9" w:themeFill="background1" w:themeFillShade="D9"/>
          </w:tcPr>
          <w:p w:rsidR="00955104" w:rsidRPr="00FE1EB5" w:rsidRDefault="00955104" w:rsidP="00C4736A">
            <w:pPr>
              <w:spacing w:before="60" w:after="60"/>
              <w:jc w:val="both"/>
              <w:rPr>
                <w:b/>
                <w:sz w:val="24"/>
              </w:rPr>
            </w:pPr>
            <w:r w:rsidRPr="00FE1EB5">
              <w:rPr>
                <w:b/>
                <w:sz w:val="24"/>
              </w:rPr>
              <w:t>RECOMMENDED ALTERATIONS</w:t>
            </w:r>
          </w:p>
        </w:tc>
      </w:tr>
      <w:tr w:rsidR="00955104" w:rsidTr="00C4736A">
        <w:tc>
          <w:tcPr>
            <w:tcW w:w="4786" w:type="dxa"/>
            <w:tcBorders>
              <w:top w:val="nil"/>
              <w:bottom w:val="nil"/>
            </w:tcBorders>
          </w:tcPr>
          <w:p w:rsidR="00955104" w:rsidRPr="00B84D95" w:rsidRDefault="00955104" w:rsidP="00955104">
            <w:pPr>
              <w:widowControl w:val="0"/>
              <w:autoSpaceDE w:val="0"/>
              <w:autoSpaceDN w:val="0"/>
              <w:adjustRightInd w:val="0"/>
              <w:spacing w:line="240" w:lineRule="atLeast"/>
              <w:ind w:left="567" w:hanging="567"/>
              <w:jc w:val="both"/>
              <w:rPr>
                <w:rFonts w:ascii="Arial" w:eastAsia="Calibri" w:hAnsi="Arial" w:cs="Arial"/>
                <w:b/>
                <w:bCs/>
              </w:rPr>
            </w:pPr>
            <w:r>
              <w:rPr>
                <w:rFonts w:ascii="Arial" w:eastAsia="Calibri" w:hAnsi="Arial" w:cs="Arial"/>
                <w:b/>
                <w:bCs/>
              </w:rPr>
              <w:t>10</w:t>
            </w:r>
            <w:r w:rsidRPr="00B84D95">
              <w:rPr>
                <w:rFonts w:ascii="Arial" w:eastAsia="Calibri" w:hAnsi="Arial" w:cs="Arial"/>
                <w:b/>
                <w:bCs/>
              </w:rPr>
              <w:t xml:space="preserve">. </w:t>
            </w:r>
            <w:r w:rsidRPr="00B84D95">
              <w:rPr>
                <w:rFonts w:ascii="Arial" w:eastAsia="Calibri" w:hAnsi="Arial" w:cs="Arial"/>
                <w:b/>
                <w:bCs/>
              </w:rPr>
              <w:tab/>
              <w:t>RAISING OF DEBT</w:t>
            </w:r>
          </w:p>
          <w:p w:rsidR="00955104" w:rsidRDefault="00955104" w:rsidP="00955104">
            <w:pPr>
              <w:widowControl w:val="0"/>
              <w:autoSpaceDE w:val="0"/>
              <w:autoSpaceDN w:val="0"/>
              <w:adjustRightInd w:val="0"/>
              <w:spacing w:line="240" w:lineRule="atLeast"/>
              <w:ind w:left="567" w:hanging="567"/>
              <w:jc w:val="both"/>
              <w:rPr>
                <w:rFonts w:ascii="Arial" w:eastAsia="Calibri" w:hAnsi="Arial" w:cs="Arial"/>
                <w:sz w:val="20"/>
              </w:rPr>
            </w:pPr>
          </w:p>
          <w:p w:rsidR="003B0BD5" w:rsidRDefault="003B0BD5" w:rsidP="00955104">
            <w:pPr>
              <w:widowControl w:val="0"/>
              <w:autoSpaceDE w:val="0"/>
              <w:autoSpaceDN w:val="0"/>
              <w:adjustRightInd w:val="0"/>
              <w:spacing w:line="240" w:lineRule="atLeast"/>
              <w:ind w:left="567" w:hanging="567"/>
              <w:jc w:val="both"/>
              <w:rPr>
                <w:rFonts w:ascii="Arial" w:eastAsia="Calibri" w:hAnsi="Arial" w:cs="Arial"/>
                <w:sz w:val="20"/>
              </w:rPr>
            </w:pPr>
          </w:p>
          <w:p w:rsidR="003B0BD5" w:rsidRPr="00B84D95" w:rsidRDefault="003B0BD5" w:rsidP="00955104">
            <w:pPr>
              <w:widowControl w:val="0"/>
              <w:autoSpaceDE w:val="0"/>
              <w:autoSpaceDN w:val="0"/>
              <w:adjustRightInd w:val="0"/>
              <w:spacing w:line="240" w:lineRule="atLeast"/>
              <w:ind w:left="567" w:hanging="567"/>
              <w:jc w:val="both"/>
              <w:rPr>
                <w:rFonts w:ascii="Arial" w:eastAsia="Calibri" w:hAnsi="Arial" w:cs="Arial"/>
                <w:sz w:val="20"/>
              </w:rPr>
            </w:pPr>
          </w:p>
          <w:p w:rsidR="00955104" w:rsidRPr="00B84D95" w:rsidRDefault="00955104" w:rsidP="00955104">
            <w:pPr>
              <w:widowControl w:val="0"/>
              <w:autoSpaceDE w:val="0"/>
              <w:autoSpaceDN w:val="0"/>
              <w:adjustRightInd w:val="0"/>
              <w:spacing w:line="240" w:lineRule="atLeast"/>
              <w:ind w:left="567" w:hanging="567"/>
              <w:jc w:val="both"/>
              <w:rPr>
                <w:rFonts w:ascii="Arial" w:eastAsia="Calibri" w:hAnsi="Arial" w:cs="Arial"/>
              </w:rPr>
            </w:pPr>
            <w:r>
              <w:rPr>
                <w:rFonts w:ascii="Arial" w:eastAsia="Calibri" w:hAnsi="Arial" w:cs="Arial"/>
              </w:rPr>
              <w:t>10</w:t>
            </w:r>
            <w:r w:rsidRPr="00B84D95">
              <w:rPr>
                <w:rFonts w:ascii="Arial" w:eastAsia="Calibri" w:hAnsi="Arial" w:cs="Arial"/>
              </w:rPr>
              <w:t xml:space="preserve">.1 </w:t>
            </w:r>
            <w:r w:rsidRPr="00B84D95">
              <w:rPr>
                <w:rFonts w:ascii="Arial" w:eastAsia="Calibri" w:hAnsi="Arial" w:cs="Arial"/>
              </w:rPr>
              <w:tab/>
              <w:t xml:space="preserve">The municipal manager is responsible for the raising of debt, but may delegate this function to the chief financial officer, who shall then manage this responsibility in consultation with the municipal manager. </w:t>
            </w:r>
          </w:p>
          <w:p w:rsidR="00955104" w:rsidRPr="00B84D95" w:rsidRDefault="00955104" w:rsidP="00955104">
            <w:pPr>
              <w:widowControl w:val="0"/>
              <w:autoSpaceDE w:val="0"/>
              <w:autoSpaceDN w:val="0"/>
              <w:adjustRightInd w:val="0"/>
              <w:spacing w:line="240" w:lineRule="atLeast"/>
              <w:ind w:left="567" w:hanging="567"/>
              <w:jc w:val="both"/>
              <w:rPr>
                <w:rFonts w:ascii="Arial" w:eastAsia="Calibri" w:hAnsi="Arial" w:cs="Arial"/>
              </w:rPr>
            </w:pPr>
          </w:p>
          <w:p w:rsidR="00955104" w:rsidRPr="00B84D95" w:rsidRDefault="00955104" w:rsidP="00955104">
            <w:pPr>
              <w:widowControl w:val="0"/>
              <w:autoSpaceDE w:val="0"/>
              <w:autoSpaceDN w:val="0"/>
              <w:adjustRightInd w:val="0"/>
              <w:spacing w:line="240" w:lineRule="atLeast"/>
              <w:ind w:left="567" w:hanging="567"/>
              <w:jc w:val="both"/>
              <w:rPr>
                <w:rFonts w:ascii="Arial" w:eastAsia="Calibri" w:hAnsi="Arial" w:cs="Arial"/>
              </w:rPr>
            </w:pPr>
            <w:r>
              <w:rPr>
                <w:rFonts w:ascii="Arial" w:eastAsia="Calibri" w:hAnsi="Arial" w:cs="Arial"/>
              </w:rPr>
              <w:t>10</w:t>
            </w:r>
            <w:r w:rsidRPr="00B84D95">
              <w:rPr>
                <w:rFonts w:ascii="Arial" w:eastAsia="Calibri" w:hAnsi="Arial" w:cs="Arial"/>
              </w:rPr>
              <w:t xml:space="preserve">.2 </w:t>
            </w:r>
            <w:r w:rsidRPr="00B84D95">
              <w:rPr>
                <w:rFonts w:ascii="Arial" w:eastAsia="Calibri" w:hAnsi="Arial" w:cs="Arial"/>
              </w:rPr>
              <w:tab/>
              <w:t>All debt shall be raised in strict compliance with the requirements of the Municipal Finance Management Act 2003, and only with the prior approval of the council.</w:t>
            </w:r>
            <w:r w:rsidRPr="00B84D95">
              <w:rPr>
                <w:rFonts w:ascii="Arial" w:eastAsia="Calibri" w:hAnsi="Arial" w:cs="Arial"/>
              </w:rPr>
              <w:tab/>
            </w:r>
          </w:p>
          <w:p w:rsidR="00955104" w:rsidRPr="00B84D95" w:rsidRDefault="00955104" w:rsidP="00955104">
            <w:pPr>
              <w:widowControl w:val="0"/>
              <w:autoSpaceDE w:val="0"/>
              <w:autoSpaceDN w:val="0"/>
              <w:adjustRightInd w:val="0"/>
              <w:spacing w:line="240" w:lineRule="atLeast"/>
              <w:ind w:left="459" w:hanging="425"/>
              <w:jc w:val="both"/>
              <w:rPr>
                <w:rFonts w:ascii="Arial" w:eastAsia="Calibri" w:hAnsi="Arial" w:cs="Arial"/>
              </w:rPr>
            </w:pPr>
          </w:p>
          <w:p w:rsidR="00955104" w:rsidRPr="00B84D95" w:rsidRDefault="00955104" w:rsidP="00955104">
            <w:pPr>
              <w:widowControl w:val="0"/>
              <w:autoSpaceDE w:val="0"/>
              <w:autoSpaceDN w:val="0"/>
              <w:adjustRightInd w:val="0"/>
              <w:spacing w:line="240" w:lineRule="atLeast"/>
              <w:ind w:left="567" w:hanging="567"/>
              <w:jc w:val="both"/>
              <w:rPr>
                <w:rFonts w:ascii="Arial" w:eastAsia="Calibri" w:hAnsi="Arial" w:cs="Arial"/>
              </w:rPr>
            </w:pPr>
            <w:r>
              <w:rPr>
                <w:rFonts w:ascii="Arial" w:eastAsia="Calibri" w:hAnsi="Arial" w:cs="Arial"/>
              </w:rPr>
              <w:t>10</w:t>
            </w:r>
            <w:r w:rsidRPr="00B84D95">
              <w:rPr>
                <w:rFonts w:ascii="Arial" w:eastAsia="Calibri" w:hAnsi="Arial" w:cs="Arial"/>
              </w:rPr>
              <w:t xml:space="preserve">.3 </w:t>
            </w:r>
            <w:r w:rsidRPr="00B84D95">
              <w:rPr>
                <w:rFonts w:ascii="Arial" w:eastAsia="Calibri" w:hAnsi="Arial" w:cs="Arial"/>
              </w:rPr>
              <w:tab/>
              <w:t>Long-term debt shall be raised only to the extent that such debt is provided for as a source of necessary finance in the capital component of the approved annual budget or adjustments budget.</w:t>
            </w:r>
          </w:p>
          <w:p w:rsidR="00955104" w:rsidRPr="00B84D95" w:rsidRDefault="00955104" w:rsidP="00955104">
            <w:pPr>
              <w:widowControl w:val="0"/>
              <w:autoSpaceDE w:val="0"/>
              <w:autoSpaceDN w:val="0"/>
              <w:adjustRightInd w:val="0"/>
              <w:spacing w:line="240" w:lineRule="atLeast"/>
              <w:ind w:left="459" w:hanging="425"/>
              <w:jc w:val="center"/>
              <w:rPr>
                <w:rFonts w:ascii="Arial" w:eastAsia="Calibri" w:hAnsi="Arial" w:cs="Arial"/>
                <w:b/>
              </w:rPr>
            </w:pPr>
          </w:p>
          <w:p w:rsidR="00955104" w:rsidRPr="00B84D95" w:rsidRDefault="00955104" w:rsidP="00955104">
            <w:pPr>
              <w:widowControl w:val="0"/>
              <w:autoSpaceDE w:val="0"/>
              <w:autoSpaceDN w:val="0"/>
              <w:adjustRightInd w:val="0"/>
              <w:spacing w:line="240" w:lineRule="atLeast"/>
              <w:ind w:left="567" w:hanging="567"/>
              <w:jc w:val="both"/>
              <w:rPr>
                <w:rFonts w:ascii="Arial" w:eastAsia="Calibri" w:hAnsi="Arial" w:cs="Arial"/>
              </w:rPr>
            </w:pPr>
            <w:r>
              <w:rPr>
                <w:rFonts w:ascii="Arial" w:eastAsia="Calibri" w:hAnsi="Arial" w:cs="Arial"/>
              </w:rPr>
              <w:t>10</w:t>
            </w:r>
            <w:r w:rsidRPr="00B84D95">
              <w:rPr>
                <w:rFonts w:ascii="Arial" w:eastAsia="Calibri" w:hAnsi="Arial" w:cs="Arial"/>
              </w:rPr>
              <w:t xml:space="preserve">.4 </w:t>
            </w:r>
            <w:r w:rsidRPr="00B84D95">
              <w:rPr>
                <w:rFonts w:ascii="Arial" w:eastAsia="Calibri" w:hAnsi="Arial" w:cs="Arial"/>
              </w:rPr>
              <w:tab/>
              <w:t xml:space="preserve">Short-term debt shall be raised only when it is unavoidable to do so in terms of cash requirements, whether for the capital or operating budgets or to settle any other obligations, and provided the need for such short-term debt, both as to extent and duration, is clearly indicated in the cash flow estimates prepared by the chief financial officer. </w:t>
            </w:r>
          </w:p>
          <w:p w:rsidR="00955104" w:rsidRPr="00B84D95" w:rsidRDefault="00955104" w:rsidP="00955104">
            <w:pPr>
              <w:widowControl w:val="0"/>
              <w:autoSpaceDE w:val="0"/>
              <w:autoSpaceDN w:val="0"/>
              <w:adjustRightInd w:val="0"/>
              <w:spacing w:line="240" w:lineRule="atLeast"/>
              <w:ind w:left="567" w:hanging="567"/>
              <w:jc w:val="both"/>
              <w:rPr>
                <w:rFonts w:ascii="Arial" w:eastAsia="Calibri" w:hAnsi="Arial" w:cs="Arial"/>
              </w:rPr>
            </w:pPr>
          </w:p>
          <w:p w:rsidR="00955104" w:rsidRPr="00B84D95" w:rsidRDefault="00955104" w:rsidP="00955104">
            <w:pPr>
              <w:widowControl w:val="0"/>
              <w:autoSpaceDE w:val="0"/>
              <w:autoSpaceDN w:val="0"/>
              <w:adjustRightInd w:val="0"/>
              <w:spacing w:line="240" w:lineRule="atLeast"/>
              <w:ind w:left="567" w:hanging="567"/>
              <w:jc w:val="both"/>
              <w:rPr>
                <w:rFonts w:ascii="Arial" w:eastAsia="Calibri" w:hAnsi="Arial" w:cs="Arial"/>
              </w:rPr>
            </w:pPr>
            <w:r>
              <w:rPr>
                <w:rFonts w:ascii="Arial" w:eastAsia="Calibri" w:hAnsi="Arial" w:cs="Arial"/>
              </w:rPr>
              <w:t>10</w:t>
            </w:r>
            <w:r w:rsidRPr="00B84D95">
              <w:rPr>
                <w:rFonts w:ascii="Arial" w:eastAsia="Calibri" w:hAnsi="Arial" w:cs="Arial"/>
              </w:rPr>
              <w:t xml:space="preserve">.5 </w:t>
            </w:r>
            <w:r w:rsidRPr="00B84D95">
              <w:rPr>
                <w:rFonts w:ascii="Arial" w:eastAsia="Calibri" w:hAnsi="Arial" w:cs="Arial"/>
              </w:rPr>
              <w:tab/>
              <w:t>Short-term debt shall be raised only to anticipate a certain long-term debt agreement or a certain inflow of operating revenues.</w:t>
            </w:r>
          </w:p>
          <w:p w:rsidR="00955104" w:rsidRPr="00B84D95" w:rsidRDefault="00955104" w:rsidP="00955104">
            <w:pPr>
              <w:widowControl w:val="0"/>
              <w:autoSpaceDE w:val="0"/>
              <w:autoSpaceDN w:val="0"/>
              <w:adjustRightInd w:val="0"/>
              <w:spacing w:before="60" w:line="240" w:lineRule="atLeast"/>
              <w:jc w:val="both"/>
              <w:rPr>
                <w:rFonts w:ascii="Arial" w:hAnsi="Arial" w:cs="Arial"/>
              </w:rPr>
            </w:pPr>
          </w:p>
          <w:p w:rsidR="00955104" w:rsidRPr="00FD1731" w:rsidRDefault="00955104" w:rsidP="00C4736A">
            <w:pPr>
              <w:spacing w:before="60" w:after="60"/>
              <w:ind w:left="540" w:hanging="540"/>
              <w:rPr>
                <w:rFonts w:ascii="Arial" w:hAnsi="Arial" w:cs="Arial"/>
                <w:b/>
              </w:rPr>
            </w:pPr>
          </w:p>
        </w:tc>
        <w:tc>
          <w:tcPr>
            <w:tcW w:w="4762" w:type="dxa"/>
            <w:tcBorders>
              <w:top w:val="nil"/>
              <w:bottom w:val="nil"/>
            </w:tcBorders>
          </w:tcPr>
          <w:p w:rsidR="003B0BD5" w:rsidRPr="00B84D95" w:rsidRDefault="003B0BD5" w:rsidP="003B0BD5">
            <w:pPr>
              <w:widowControl w:val="0"/>
              <w:autoSpaceDE w:val="0"/>
              <w:autoSpaceDN w:val="0"/>
              <w:adjustRightInd w:val="0"/>
              <w:spacing w:line="240" w:lineRule="atLeast"/>
              <w:ind w:left="567" w:hanging="567"/>
              <w:jc w:val="both"/>
              <w:rPr>
                <w:rFonts w:ascii="Arial" w:eastAsia="Calibri" w:hAnsi="Arial" w:cs="Arial"/>
                <w:b/>
                <w:bCs/>
              </w:rPr>
            </w:pPr>
            <w:r>
              <w:rPr>
                <w:rFonts w:ascii="Arial" w:eastAsia="Calibri" w:hAnsi="Arial" w:cs="Arial"/>
                <w:b/>
                <w:bCs/>
              </w:rPr>
              <w:t>10</w:t>
            </w:r>
            <w:r w:rsidRPr="00B84D95">
              <w:rPr>
                <w:rFonts w:ascii="Arial" w:eastAsia="Calibri" w:hAnsi="Arial" w:cs="Arial"/>
                <w:b/>
                <w:bCs/>
              </w:rPr>
              <w:t xml:space="preserve">. </w:t>
            </w:r>
            <w:r w:rsidRPr="00B84D95">
              <w:rPr>
                <w:rFonts w:ascii="Arial" w:eastAsia="Calibri" w:hAnsi="Arial" w:cs="Arial"/>
                <w:b/>
                <w:bCs/>
              </w:rPr>
              <w:tab/>
              <w:t>RAISING OF DEBT</w:t>
            </w:r>
          </w:p>
          <w:p w:rsidR="003B0BD5" w:rsidRDefault="003B0BD5" w:rsidP="003B0BD5">
            <w:pPr>
              <w:widowControl w:val="0"/>
              <w:autoSpaceDE w:val="0"/>
              <w:autoSpaceDN w:val="0"/>
              <w:adjustRightInd w:val="0"/>
              <w:spacing w:line="240" w:lineRule="atLeast"/>
              <w:ind w:left="567" w:hanging="567"/>
              <w:jc w:val="both"/>
              <w:rPr>
                <w:rFonts w:ascii="Arial" w:eastAsia="Calibri" w:hAnsi="Arial" w:cs="Arial"/>
                <w:sz w:val="20"/>
              </w:rPr>
            </w:pPr>
          </w:p>
          <w:p w:rsidR="003B0BD5" w:rsidRPr="003B0BD5" w:rsidRDefault="003B0BD5" w:rsidP="003B0BD5">
            <w:pPr>
              <w:widowControl w:val="0"/>
              <w:autoSpaceDE w:val="0"/>
              <w:autoSpaceDN w:val="0"/>
              <w:adjustRightInd w:val="0"/>
              <w:spacing w:line="240" w:lineRule="atLeast"/>
              <w:ind w:left="567" w:hanging="567"/>
              <w:jc w:val="both"/>
              <w:rPr>
                <w:rFonts w:ascii="Arial" w:eastAsia="Calibri" w:hAnsi="Arial" w:cs="Arial"/>
                <w:i/>
                <w:sz w:val="20"/>
              </w:rPr>
            </w:pPr>
            <w:r w:rsidRPr="003B0BD5">
              <w:rPr>
                <w:rFonts w:ascii="Arial" w:eastAsia="Calibri" w:hAnsi="Arial" w:cs="Arial"/>
                <w:i/>
                <w:sz w:val="20"/>
              </w:rPr>
              <w:t>Raising of debt is covered in the borrowing policy</w:t>
            </w:r>
          </w:p>
          <w:p w:rsidR="003B0BD5" w:rsidRPr="00B84D95" w:rsidRDefault="003B0BD5" w:rsidP="003B0BD5">
            <w:pPr>
              <w:widowControl w:val="0"/>
              <w:autoSpaceDE w:val="0"/>
              <w:autoSpaceDN w:val="0"/>
              <w:adjustRightInd w:val="0"/>
              <w:spacing w:line="240" w:lineRule="atLeast"/>
              <w:ind w:left="567" w:hanging="567"/>
              <w:jc w:val="both"/>
              <w:rPr>
                <w:rFonts w:ascii="Arial" w:eastAsia="Calibri" w:hAnsi="Arial" w:cs="Arial"/>
                <w:sz w:val="20"/>
              </w:rPr>
            </w:pPr>
          </w:p>
          <w:p w:rsidR="003B0BD5" w:rsidRPr="003B0BD5" w:rsidRDefault="003B0BD5" w:rsidP="003B0BD5">
            <w:pPr>
              <w:widowControl w:val="0"/>
              <w:autoSpaceDE w:val="0"/>
              <w:autoSpaceDN w:val="0"/>
              <w:adjustRightInd w:val="0"/>
              <w:spacing w:line="240" w:lineRule="atLeast"/>
              <w:ind w:left="567" w:hanging="567"/>
              <w:jc w:val="both"/>
              <w:rPr>
                <w:rFonts w:ascii="Arial" w:eastAsia="Calibri" w:hAnsi="Arial" w:cs="Arial"/>
                <w:strike/>
              </w:rPr>
            </w:pPr>
            <w:r w:rsidRPr="003B0BD5">
              <w:rPr>
                <w:rFonts w:ascii="Arial" w:eastAsia="Calibri" w:hAnsi="Arial" w:cs="Arial"/>
                <w:strike/>
              </w:rPr>
              <w:t xml:space="preserve">10.1 </w:t>
            </w:r>
            <w:r w:rsidRPr="003B0BD5">
              <w:rPr>
                <w:rFonts w:ascii="Arial" w:eastAsia="Calibri" w:hAnsi="Arial" w:cs="Arial"/>
                <w:strike/>
              </w:rPr>
              <w:tab/>
              <w:t xml:space="preserve">The municipal manager is responsible for the raising of debt, but may delegate this function to the chief financial officer, who shall then manage this responsibility in consultation with the municipal manager. </w:t>
            </w:r>
          </w:p>
          <w:p w:rsidR="003B0BD5" w:rsidRPr="003B0BD5" w:rsidRDefault="003B0BD5" w:rsidP="003B0BD5">
            <w:pPr>
              <w:widowControl w:val="0"/>
              <w:autoSpaceDE w:val="0"/>
              <w:autoSpaceDN w:val="0"/>
              <w:adjustRightInd w:val="0"/>
              <w:spacing w:line="240" w:lineRule="atLeast"/>
              <w:ind w:left="567" w:hanging="567"/>
              <w:jc w:val="both"/>
              <w:rPr>
                <w:rFonts w:ascii="Arial" w:eastAsia="Calibri" w:hAnsi="Arial" w:cs="Arial"/>
                <w:strike/>
              </w:rPr>
            </w:pPr>
          </w:p>
          <w:p w:rsidR="003B0BD5" w:rsidRPr="003B0BD5" w:rsidRDefault="003B0BD5" w:rsidP="003B0BD5">
            <w:pPr>
              <w:widowControl w:val="0"/>
              <w:autoSpaceDE w:val="0"/>
              <w:autoSpaceDN w:val="0"/>
              <w:adjustRightInd w:val="0"/>
              <w:spacing w:line="240" w:lineRule="atLeast"/>
              <w:ind w:left="567" w:hanging="567"/>
              <w:jc w:val="both"/>
              <w:rPr>
                <w:rFonts w:ascii="Arial" w:eastAsia="Calibri" w:hAnsi="Arial" w:cs="Arial"/>
                <w:strike/>
              </w:rPr>
            </w:pPr>
            <w:r w:rsidRPr="003B0BD5">
              <w:rPr>
                <w:rFonts w:ascii="Arial" w:eastAsia="Calibri" w:hAnsi="Arial" w:cs="Arial"/>
                <w:strike/>
              </w:rPr>
              <w:t xml:space="preserve">10.2 </w:t>
            </w:r>
            <w:r w:rsidRPr="003B0BD5">
              <w:rPr>
                <w:rFonts w:ascii="Arial" w:eastAsia="Calibri" w:hAnsi="Arial" w:cs="Arial"/>
                <w:strike/>
              </w:rPr>
              <w:tab/>
              <w:t>All debt shall be raised in strict compliance with the requirements of the Municipal Finance Management Act 2003, and only with the prior approval of the council.</w:t>
            </w:r>
            <w:r w:rsidRPr="003B0BD5">
              <w:rPr>
                <w:rFonts w:ascii="Arial" w:eastAsia="Calibri" w:hAnsi="Arial" w:cs="Arial"/>
                <w:strike/>
              </w:rPr>
              <w:tab/>
            </w:r>
          </w:p>
          <w:p w:rsidR="003B0BD5" w:rsidRPr="003B0BD5" w:rsidRDefault="003B0BD5" w:rsidP="003B0BD5">
            <w:pPr>
              <w:widowControl w:val="0"/>
              <w:autoSpaceDE w:val="0"/>
              <w:autoSpaceDN w:val="0"/>
              <w:adjustRightInd w:val="0"/>
              <w:spacing w:line="240" w:lineRule="atLeast"/>
              <w:ind w:left="459" w:hanging="425"/>
              <w:jc w:val="both"/>
              <w:rPr>
                <w:rFonts w:ascii="Arial" w:eastAsia="Calibri" w:hAnsi="Arial" w:cs="Arial"/>
                <w:strike/>
              </w:rPr>
            </w:pPr>
          </w:p>
          <w:p w:rsidR="003B0BD5" w:rsidRPr="003B0BD5" w:rsidRDefault="003B0BD5" w:rsidP="003B0BD5">
            <w:pPr>
              <w:widowControl w:val="0"/>
              <w:autoSpaceDE w:val="0"/>
              <w:autoSpaceDN w:val="0"/>
              <w:adjustRightInd w:val="0"/>
              <w:spacing w:line="240" w:lineRule="atLeast"/>
              <w:ind w:left="567" w:hanging="567"/>
              <w:jc w:val="both"/>
              <w:rPr>
                <w:rFonts w:ascii="Arial" w:eastAsia="Calibri" w:hAnsi="Arial" w:cs="Arial"/>
                <w:strike/>
              </w:rPr>
            </w:pPr>
            <w:r w:rsidRPr="003B0BD5">
              <w:rPr>
                <w:rFonts w:ascii="Arial" w:eastAsia="Calibri" w:hAnsi="Arial" w:cs="Arial"/>
                <w:strike/>
              </w:rPr>
              <w:t xml:space="preserve">10.3 </w:t>
            </w:r>
            <w:r w:rsidRPr="003B0BD5">
              <w:rPr>
                <w:rFonts w:ascii="Arial" w:eastAsia="Calibri" w:hAnsi="Arial" w:cs="Arial"/>
                <w:strike/>
              </w:rPr>
              <w:tab/>
              <w:t>Long-term debt shall be raised only to the extent that such debt is provided for as a source of necessary finance in the capital component of the approved annual budget or adjustments budget.</w:t>
            </w:r>
          </w:p>
          <w:p w:rsidR="003B0BD5" w:rsidRPr="003B0BD5" w:rsidRDefault="003B0BD5" w:rsidP="003B0BD5">
            <w:pPr>
              <w:widowControl w:val="0"/>
              <w:autoSpaceDE w:val="0"/>
              <w:autoSpaceDN w:val="0"/>
              <w:adjustRightInd w:val="0"/>
              <w:spacing w:line="240" w:lineRule="atLeast"/>
              <w:ind w:left="459" w:hanging="425"/>
              <w:jc w:val="center"/>
              <w:rPr>
                <w:rFonts w:ascii="Arial" w:eastAsia="Calibri" w:hAnsi="Arial" w:cs="Arial"/>
                <w:b/>
                <w:strike/>
              </w:rPr>
            </w:pPr>
          </w:p>
          <w:p w:rsidR="003B0BD5" w:rsidRPr="003B0BD5" w:rsidRDefault="003B0BD5" w:rsidP="003B0BD5">
            <w:pPr>
              <w:widowControl w:val="0"/>
              <w:autoSpaceDE w:val="0"/>
              <w:autoSpaceDN w:val="0"/>
              <w:adjustRightInd w:val="0"/>
              <w:spacing w:line="240" w:lineRule="atLeast"/>
              <w:ind w:left="567" w:hanging="567"/>
              <w:jc w:val="both"/>
              <w:rPr>
                <w:rFonts w:ascii="Arial" w:eastAsia="Calibri" w:hAnsi="Arial" w:cs="Arial"/>
                <w:strike/>
              </w:rPr>
            </w:pPr>
            <w:r w:rsidRPr="003B0BD5">
              <w:rPr>
                <w:rFonts w:ascii="Arial" w:eastAsia="Calibri" w:hAnsi="Arial" w:cs="Arial"/>
                <w:strike/>
              </w:rPr>
              <w:t xml:space="preserve">10.4 </w:t>
            </w:r>
            <w:r w:rsidRPr="003B0BD5">
              <w:rPr>
                <w:rFonts w:ascii="Arial" w:eastAsia="Calibri" w:hAnsi="Arial" w:cs="Arial"/>
                <w:strike/>
              </w:rPr>
              <w:tab/>
              <w:t xml:space="preserve">Short-term debt shall be raised only when it is unavoidable to do so in terms of cash requirements, whether for the capital or operating budgets or to settle any other obligations, and provided the need for such short-term debt, both as to extent and duration, is clearly indicated in the cash flow estimates prepared by the chief financial officer. </w:t>
            </w:r>
          </w:p>
          <w:p w:rsidR="003B0BD5" w:rsidRPr="003B0BD5" w:rsidRDefault="003B0BD5" w:rsidP="003B0BD5">
            <w:pPr>
              <w:widowControl w:val="0"/>
              <w:autoSpaceDE w:val="0"/>
              <w:autoSpaceDN w:val="0"/>
              <w:adjustRightInd w:val="0"/>
              <w:spacing w:line="240" w:lineRule="atLeast"/>
              <w:ind w:left="567" w:hanging="567"/>
              <w:jc w:val="both"/>
              <w:rPr>
                <w:rFonts w:ascii="Arial" w:eastAsia="Calibri" w:hAnsi="Arial" w:cs="Arial"/>
                <w:strike/>
              </w:rPr>
            </w:pPr>
          </w:p>
          <w:p w:rsidR="003B0BD5" w:rsidRPr="00B84D95" w:rsidRDefault="003B0BD5" w:rsidP="003B0BD5">
            <w:pPr>
              <w:widowControl w:val="0"/>
              <w:autoSpaceDE w:val="0"/>
              <w:autoSpaceDN w:val="0"/>
              <w:adjustRightInd w:val="0"/>
              <w:spacing w:line="240" w:lineRule="atLeast"/>
              <w:ind w:left="567" w:hanging="567"/>
              <w:jc w:val="both"/>
              <w:rPr>
                <w:rFonts w:ascii="Arial" w:eastAsia="Calibri" w:hAnsi="Arial" w:cs="Arial"/>
              </w:rPr>
            </w:pPr>
            <w:r w:rsidRPr="003B0BD5">
              <w:rPr>
                <w:rFonts w:ascii="Arial" w:eastAsia="Calibri" w:hAnsi="Arial" w:cs="Arial"/>
                <w:strike/>
              </w:rPr>
              <w:t xml:space="preserve">10.5 </w:t>
            </w:r>
            <w:r w:rsidRPr="003B0BD5">
              <w:rPr>
                <w:rFonts w:ascii="Arial" w:eastAsia="Calibri" w:hAnsi="Arial" w:cs="Arial"/>
                <w:strike/>
              </w:rPr>
              <w:tab/>
              <w:t>Short-term debt shall be raised only to anticipate a certain long-term debt agreement or a certain inflow of operating revenues.</w:t>
            </w:r>
          </w:p>
          <w:p w:rsidR="00955104" w:rsidRPr="00F73170" w:rsidRDefault="00955104" w:rsidP="00C4736A">
            <w:pPr>
              <w:tabs>
                <w:tab w:val="left" w:pos="1168"/>
              </w:tabs>
              <w:spacing w:before="60" w:after="60"/>
              <w:ind w:left="1026" w:hanging="425"/>
              <w:jc w:val="both"/>
              <w:rPr>
                <w:i/>
                <w:sz w:val="24"/>
                <w:szCs w:val="24"/>
              </w:rPr>
            </w:pPr>
          </w:p>
        </w:tc>
      </w:tr>
      <w:tr w:rsidR="00955104" w:rsidTr="00C4736A">
        <w:tc>
          <w:tcPr>
            <w:tcW w:w="4786" w:type="dxa"/>
            <w:tcBorders>
              <w:top w:val="nil"/>
              <w:bottom w:val="nil"/>
            </w:tcBorders>
          </w:tcPr>
          <w:p w:rsidR="003B0BD5" w:rsidRPr="003B0BD5" w:rsidRDefault="003B0BD5" w:rsidP="003B0BD5">
            <w:pPr>
              <w:widowControl w:val="0"/>
              <w:autoSpaceDE w:val="0"/>
              <w:autoSpaceDN w:val="0"/>
              <w:adjustRightInd w:val="0"/>
              <w:spacing w:line="240" w:lineRule="atLeast"/>
              <w:jc w:val="both"/>
              <w:rPr>
                <w:rFonts w:ascii="Arial" w:eastAsia="Calibri" w:hAnsi="Arial" w:cs="Arial"/>
                <w:b/>
                <w:bCs/>
                <w:sz w:val="24"/>
                <w:szCs w:val="24"/>
                <w:lang w:eastAsia="en-US"/>
              </w:rPr>
            </w:pPr>
            <w:r w:rsidRPr="003B0BD5">
              <w:rPr>
                <w:rFonts w:ascii="Arial" w:eastAsia="Calibri" w:hAnsi="Arial" w:cs="Arial"/>
                <w:b/>
                <w:bCs/>
                <w:sz w:val="24"/>
                <w:szCs w:val="24"/>
                <w:lang w:eastAsia="en-US"/>
              </w:rPr>
              <w:t>11.      INTEREST ON INVESTMENTS</w:t>
            </w:r>
          </w:p>
          <w:p w:rsidR="003B0BD5" w:rsidRPr="003B0BD5" w:rsidRDefault="003B0BD5" w:rsidP="003B0BD5">
            <w:pPr>
              <w:widowControl w:val="0"/>
              <w:autoSpaceDE w:val="0"/>
              <w:autoSpaceDN w:val="0"/>
              <w:adjustRightInd w:val="0"/>
              <w:spacing w:line="240" w:lineRule="atLeast"/>
              <w:jc w:val="both"/>
              <w:rPr>
                <w:rFonts w:ascii="Arial" w:eastAsia="Calibri" w:hAnsi="Arial" w:cs="Arial"/>
                <w:sz w:val="24"/>
                <w:szCs w:val="24"/>
                <w:lang w:eastAsia="en-US"/>
              </w:rPr>
            </w:pPr>
          </w:p>
          <w:p w:rsidR="003B0BD5" w:rsidRPr="003B0BD5" w:rsidRDefault="003B0BD5" w:rsidP="003B0BD5">
            <w:pPr>
              <w:widowControl w:val="0"/>
              <w:autoSpaceDE w:val="0"/>
              <w:autoSpaceDN w:val="0"/>
              <w:adjustRightInd w:val="0"/>
              <w:spacing w:line="240" w:lineRule="atLeast"/>
              <w:ind w:left="709" w:hanging="709"/>
              <w:jc w:val="both"/>
              <w:rPr>
                <w:rFonts w:ascii="Arial" w:eastAsia="Calibri" w:hAnsi="Arial" w:cs="Arial"/>
                <w:szCs w:val="24"/>
                <w:lang w:eastAsia="en-US"/>
              </w:rPr>
            </w:pPr>
            <w:proofErr w:type="gramStart"/>
            <w:r w:rsidRPr="003B0BD5">
              <w:rPr>
                <w:rFonts w:ascii="Arial" w:eastAsia="Calibri" w:hAnsi="Arial" w:cs="Arial"/>
                <w:szCs w:val="24"/>
                <w:lang w:eastAsia="en-US"/>
              </w:rPr>
              <w:t>11.1  The</w:t>
            </w:r>
            <w:proofErr w:type="gramEnd"/>
            <w:r w:rsidRPr="003B0BD5">
              <w:rPr>
                <w:rFonts w:ascii="Arial" w:eastAsia="Calibri" w:hAnsi="Arial" w:cs="Arial"/>
                <w:szCs w:val="24"/>
                <w:lang w:eastAsia="en-US"/>
              </w:rPr>
              <w:t xml:space="preserve"> interest accrued on all the municipality's investments shall, in compliance with the requirements of generally recognized accounting practice, be recorded in the first instance in the municipality's operating account as ordinary operating revenues, and shall thereafter be appropriated, at the end of each month, to the fund or account in respect of which such investment was made.</w:t>
            </w:r>
          </w:p>
          <w:p w:rsidR="003B0BD5" w:rsidRPr="003B0BD5" w:rsidRDefault="003B0BD5" w:rsidP="003B0BD5">
            <w:pPr>
              <w:widowControl w:val="0"/>
              <w:autoSpaceDE w:val="0"/>
              <w:autoSpaceDN w:val="0"/>
              <w:adjustRightInd w:val="0"/>
              <w:spacing w:line="240" w:lineRule="atLeast"/>
              <w:ind w:left="709" w:hanging="709"/>
              <w:jc w:val="both"/>
              <w:rPr>
                <w:rFonts w:ascii="Arial" w:eastAsia="Calibri" w:hAnsi="Arial" w:cs="Arial"/>
                <w:szCs w:val="24"/>
                <w:lang w:eastAsia="en-US"/>
              </w:rPr>
            </w:pPr>
          </w:p>
          <w:p w:rsidR="003B0BD5" w:rsidRPr="003B0BD5" w:rsidRDefault="003B0BD5" w:rsidP="003B0BD5">
            <w:pPr>
              <w:widowControl w:val="0"/>
              <w:autoSpaceDE w:val="0"/>
              <w:autoSpaceDN w:val="0"/>
              <w:adjustRightInd w:val="0"/>
              <w:spacing w:line="240" w:lineRule="atLeast"/>
              <w:ind w:left="709" w:hanging="709"/>
              <w:jc w:val="both"/>
              <w:rPr>
                <w:rFonts w:ascii="Arial" w:eastAsia="Calibri" w:hAnsi="Arial" w:cs="Arial"/>
                <w:szCs w:val="24"/>
                <w:lang w:eastAsia="en-US"/>
              </w:rPr>
            </w:pPr>
            <w:r w:rsidRPr="003B0BD5">
              <w:rPr>
                <w:rFonts w:ascii="Arial" w:eastAsia="Calibri" w:hAnsi="Arial" w:cs="Arial"/>
                <w:szCs w:val="24"/>
                <w:lang w:eastAsia="en-US"/>
              </w:rPr>
              <w:t>11.2   If the accrual of interest to unutilised capital receipts and trust funds results in a surplus standing to the account of any such funds, that is, an amount surplus to the resources required in respect of such funds or accounts, such surplus amount shall be credited by the chief financial officer to the appropriation account and re-appropriated to the asset financing reserve.</w:t>
            </w:r>
          </w:p>
          <w:p w:rsidR="00955104" w:rsidRPr="00AC4EC7" w:rsidRDefault="00955104" w:rsidP="00C4736A">
            <w:pPr>
              <w:tabs>
                <w:tab w:val="left" w:pos="1276"/>
              </w:tabs>
              <w:spacing w:after="120" w:line="24" w:lineRule="atLeast"/>
              <w:jc w:val="both"/>
              <w:rPr>
                <w:rFonts w:ascii="Arial" w:hAnsi="Arial" w:cs="Arial"/>
                <w:dstrike/>
              </w:rPr>
            </w:pPr>
          </w:p>
        </w:tc>
        <w:tc>
          <w:tcPr>
            <w:tcW w:w="4762" w:type="dxa"/>
            <w:tcBorders>
              <w:top w:val="nil"/>
              <w:bottom w:val="nil"/>
            </w:tcBorders>
          </w:tcPr>
          <w:p w:rsidR="003B0BD5" w:rsidRPr="00B84D95" w:rsidRDefault="003B0BD5" w:rsidP="003B0BD5">
            <w:pPr>
              <w:widowControl w:val="0"/>
              <w:autoSpaceDE w:val="0"/>
              <w:autoSpaceDN w:val="0"/>
              <w:adjustRightInd w:val="0"/>
              <w:spacing w:line="240" w:lineRule="atLeast"/>
              <w:jc w:val="both"/>
              <w:rPr>
                <w:rFonts w:ascii="Arial" w:eastAsia="Calibri" w:hAnsi="Arial" w:cs="Arial"/>
                <w:b/>
                <w:bCs/>
              </w:rPr>
            </w:pPr>
            <w:r>
              <w:rPr>
                <w:rFonts w:ascii="Arial" w:eastAsia="Calibri" w:hAnsi="Arial" w:cs="Arial"/>
                <w:b/>
                <w:bCs/>
              </w:rPr>
              <w:lastRenderedPageBreak/>
              <w:t>11</w:t>
            </w:r>
            <w:r w:rsidRPr="00B84D95">
              <w:rPr>
                <w:rFonts w:ascii="Arial" w:eastAsia="Calibri" w:hAnsi="Arial" w:cs="Arial"/>
                <w:b/>
                <w:bCs/>
              </w:rPr>
              <w:t xml:space="preserve">.   </w:t>
            </w:r>
            <w:r>
              <w:rPr>
                <w:rFonts w:ascii="Arial" w:eastAsia="Calibri" w:hAnsi="Arial" w:cs="Arial"/>
                <w:b/>
                <w:bCs/>
              </w:rPr>
              <w:t xml:space="preserve">  </w:t>
            </w:r>
            <w:r w:rsidRPr="00B84D95">
              <w:rPr>
                <w:rFonts w:ascii="Arial" w:eastAsia="Calibri" w:hAnsi="Arial" w:cs="Arial"/>
                <w:b/>
                <w:bCs/>
              </w:rPr>
              <w:t xml:space="preserve"> INTEREST ON INVESTMENTS</w:t>
            </w:r>
          </w:p>
          <w:p w:rsidR="003B0BD5" w:rsidRPr="00B84D95" w:rsidRDefault="003B0BD5" w:rsidP="003B0BD5">
            <w:pPr>
              <w:widowControl w:val="0"/>
              <w:autoSpaceDE w:val="0"/>
              <w:autoSpaceDN w:val="0"/>
              <w:adjustRightInd w:val="0"/>
              <w:spacing w:line="240" w:lineRule="atLeast"/>
              <w:jc w:val="both"/>
              <w:rPr>
                <w:rFonts w:ascii="Arial" w:eastAsia="Calibri" w:hAnsi="Arial" w:cs="Arial"/>
              </w:rPr>
            </w:pPr>
          </w:p>
          <w:p w:rsidR="003B0BD5" w:rsidRPr="003B0BD5" w:rsidRDefault="003B0BD5" w:rsidP="003B0BD5">
            <w:pPr>
              <w:widowControl w:val="0"/>
              <w:autoSpaceDE w:val="0"/>
              <w:autoSpaceDN w:val="0"/>
              <w:adjustRightInd w:val="0"/>
              <w:spacing w:line="240" w:lineRule="atLeast"/>
              <w:ind w:left="709" w:hanging="709"/>
              <w:jc w:val="both"/>
              <w:rPr>
                <w:rFonts w:ascii="Arial" w:eastAsia="Calibri" w:hAnsi="Arial" w:cs="Arial"/>
                <w:strike/>
              </w:rPr>
            </w:pPr>
            <w:proofErr w:type="gramStart"/>
            <w:r>
              <w:rPr>
                <w:rFonts w:ascii="Arial" w:eastAsia="Calibri" w:hAnsi="Arial" w:cs="Arial"/>
              </w:rPr>
              <w:t>11</w:t>
            </w:r>
            <w:r w:rsidRPr="00B84D95">
              <w:rPr>
                <w:rFonts w:ascii="Arial" w:eastAsia="Calibri" w:hAnsi="Arial" w:cs="Arial"/>
              </w:rPr>
              <w:t xml:space="preserve">.1 </w:t>
            </w:r>
            <w:r>
              <w:rPr>
                <w:rFonts w:ascii="Arial" w:eastAsia="Calibri" w:hAnsi="Arial" w:cs="Arial"/>
              </w:rPr>
              <w:t xml:space="preserve"> </w:t>
            </w:r>
            <w:r w:rsidRPr="00B84D95">
              <w:rPr>
                <w:rFonts w:ascii="Arial" w:eastAsia="Calibri" w:hAnsi="Arial" w:cs="Arial"/>
              </w:rPr>
              <w:t>The</w:t>
            </w:r>
            <w:proofErr w:type="gramEnd"/>
            <w:r w:rsidRPr="00B84D95">
              <w:rPr>
                <w:rFonts w:ascii="Arial" w:eastAsia="Calibri" w:hAnsi="Arial" w:cs="Arial"/>
              </w:rPr>
              <w:t xml:space="preserve"> interest accrued on all the municipality's investments shall, in compliance with the requirements of generally recognized accounting practice, be recorded in the </w:t>
            </w:r>
            <w:r w:rsidRPr="003B0BD5">
              <w:rPr>
                <w:rFonts w:ascii="Arial" w:eastAsia="Calibri" w:hAnsi="Arial" w:cs="Arial"/>
                <w:strike/>
              </w:rPr>
              <w:t>first instance</w:t>
            </w:r>
            <w:r w:rsidRPr="00B84D95">
              <w:rPr>
                <w:rFonts w:ascii="Arial" w:eastAsia="Calibri" w:hAnsi="Arial" w:cs="Arial"/>
              </w:rPr>
              <w:t xml:space="preserve"> in the municipality's operating account as ordinary operating revenues</w:t>
            </w:r>
            <w:r w:rsidRPr="003B0BD5">
              <w:rPr>
                <w:rFonts w:ascii="Arial" w:eastAsia="Calibri" w:hAnsi="Arial" w:cs="Arial"/>
                <w:strike/>
              </w:rPr>
              <w:t>, and shall thereafter be appropriated, at the end of each month, to the fund or account in respect of which such investment was made.</w:t>
            </w:r>
          </w:p>
          <w:p w:rsidR="003B0BD5" w:rsidRPr="003B0BD5" w:rsidRDefault="003B0BD5" w:rsidP="003B0BD5">
            <w:pPr>
              <w:widowControl w:val="0"/>
              <w:autoSpaceDE w:val="0"/>
              <w:autoSpaceDN w:val="0"/>
              <w:adjustRightInd w:val="0"/>
              <w:spacing w:line="240" w:lineRule="atLeast"/>
              <w:ind w:left="709" w:hanging="709"/>
              <w:jc w:val="both"/>
              <w:rPr>
                <w:rFonts w:ascii="Arial" w:eastAsia="Calibri" w:hAnsi="Arial" w:cs="Arial"/>
                <w:strike/>
              </w:rPr>
            </w:pPr>
          </w:p>
          <w:p w:rsidR="003B0BD5" w:rsidRPr="003B0BD5" w:rsidRDefault="003B0BD5" w:rsidP="003B0BD5">
            <w:pPr>
              <w:widowControl w:val="0"/>
              <w:autoSpaceDE w:val="0"/>
              <w:autoSpaceDN w:val="0"/>
              <w:adjustRightInd w:val="0"/>
              <w:spacing w:line="240" w:lineRule="atLeast"/>
              <w:ind w:left="709" w:hanging="709"/>
              <w:jc w:val="both"/>
              <w:rPr>
                <w:rFonts w:ascii="Arial" w:eastAsia="Calibri" w:hAnsi="Arial" w:cs="Arial"/>
                <w:strike/>
              </w:rPr>
            </w:pPr>
            <w:r w:rsidRPr="003B0BD5">
              <w:rPr>
                <w:rFonts w:ascii="Arial" w:eastAsia="Calibri" w:hAnsi="Arial" w:cs="Arial"/>
                <w:strike/>
              </w:rPr>
              <w:t>11.2   If the accrual of interest to unutilised capital receipts and trust funds results in a surplus standing to the account of any such funds, that is, an amount surplus to the resources required in respect of such funds or accounts, such surplus amount shall be credited by the chief financial officer to the appropriation account and re-appropriated to the asset financing reserve.</w:t>
            </w:r>
          </w:p>
          <w:p w:rsidR="00955104" w:rsidRPr="00B41218" w:rsidRDefault="00955104" w:rsidP="00C4736A">
            <w:pPr>
              <w:tabs>
                <w:tab w:val="left" w:pos="426"/>
              </w:tabs>
              <w:spacing w:line="24" w:lineRule="atLeast"/>
              <w:rPr>
                <w:rFonts w:ascii="Arial" w:hAnsi="Arial" w:cs="Arial"/>
              </w:rPr>
            </w:pPr>
          </w:p>
        </w:tc>
      </w:tr>
      <w:tr w:rsidR="00955104" w:rsidTr="00C4736A">
        <w:tc>
          <w:tcPr>
            <w:tcW w:w="4786" w:type="dxa"/>
            <w:tcBorders>
              <w:top w:val="nil"/>
              <w:bottom w:val="nil"/>
            </w:tcBorders>
          </w:tcPr>
          <w:p w:rsidR="00955104" w:rsidRPr="00861F87" w:rsidRDefault="00955104" w:rsidP="00C4736A">
            <w:pPr>
              <w:tabs>
                <w:tab w:val="left" w:pos="1134"/>
              </w:tabs>
              <w:spacing w:after="120" w:line="24" w:lineRule="atLeast"/>
              <w:jc w:val="both"/>
              <w:rPr>
                <w:rFonts w:ascii="Arial" w:hAnsi="Arial" w:cs="Arial"/>
                <w:dstrike/>
              </w:rPr>
            </w:pPr>
          </w:p>
        </w:tc>
        <w:tc>
          <w:tcPr>
            <w:tcW w:w="4762" w:type="dxa"/>
            <w:tcBorders>
              <w:top w:val="nil"/>
              <w:bottom w:val="nil"/>
            </w:tcBorders>
          </w:tcPr>
          <w:p w:rsidR="00955104" w:rsidRPr="00B41218" w:rsidRDefault="00955104" w:rsidP="00C4736A">
            <w:pPr>
              <w:tabs>
                <w:tab w:val="left" w:pos="426"/>
              </w:tabs>
              <w:spacing w:line="24" w:lineRule="atLeast"/>
              <w:rPr>
                <w:rFonts w:ascii="Arial" w:hAnsi="Arial" w:cs="Arial"/>
              </w:rPr>
            </w:pPr>
          </w:p>
        </w:tc>
      </w:tr>
      <w:tr w:rsidR="00955104" w:rsidTr="00C4736A">
        <w:tc>
          <w:tcPr>
            <w:tcW w:w="4786" w:type="dxa"/>
            <w:tcBorders>
              <w:top w:val="nil"/>
              <w:bottom w:val="single" w:sz="4" w:space="0" w:color="auto"/>
            </w:tcBorders>
          </w:tcPr>
          <w:p w:rsidR="00955104" w:rsidRPr="00861F87" w:rsidRDefault="00955104" w:rsidP="00C4736A">
            <w:pPr>
              <w:tabs>
                <w:tab w:val="left" w:pos="1134"/>
              </w:tabs>
              <w:spacing w:after="120" w:line="24" w:lineRule="atLeast"/>
              <w:jc w:val="both"/>
              <w:rPr>
                <w:rFonts w:ascii="Arial" w:hAnsi="Arial" w:cs="Arial"/>
                <w:dstrike/>
              </w:rPr>
            </w:pPr>
          </w:p>
        </w:tc>
        <w:tc>
          <w:tcPr>
            <w:tcW w:w="4762" w:type="dxa"/>
            <w:tcBorders>
              <w:top w:val="nil"/>
              <w:bottom w:val="single" w:sz="4" w:space="0" w:color="auto"/>
            </w:tcBorders>
          </w:tcPr>
          <w:p w:rsidR="00955104" w:rsidRPr="00B41218" w:rsidRDefault="00955104" w:rsidP="00C4736A">
            <w:pPr>
              <w:tabs>
                <w:tab w:val="left" w:pos="426"/>
              </w:tabs>
              <w:spacing w:line="24" w:lineRule="atLeast"/>
              <w:rPr>
                <w:rFonts w:ascii="Arial" w:hAnsi="Arial" w:cs="Arial"/>
              </w:rPr>
            </w:pPr>
          </w:p>
        </w:tc>
      </w:tr>
    </w:tbl>
    <w:p w:rsidR="00955104" w:rsidRDefault="00955104" w:rsidP="00955104">
      <w:pPr>
        <w:spacing w:after="0" w:line="24" w:lineRule="atLeast"/>
        <w:ind w:left="540" w:hanging="540"/>
        <w:rPr>
          <w:sz w:val="24"/>
          <w:lang w:val="af-ZA"/>
        </w:rPr>
      </w:pPr>
    </w:p>
    <w:p w:rsidR="0012483E" w:rsidRDefault="0012483E">
      <w:pPr>
        <w:rPr>
          <w:sz w:val="24"/>
          <w:lang w:val="af-ZA"/>
        </w:rPr>
      </w:pPr>
      <w:r>
        <w:rPr>
          <w:sz w:val="24"/>
          <w:lang w:val="af-ZA"/>
        </w:rPr>
        <w:br w:type="page"/>
      </w:r>
    </w:p>
    <w:p w:rsidR="0096500C" w:rsidRDefault="0096500C" w:rsidP="00D05ED2">
      <w:pPr>
        <w:spacing w:after="0" w:line="24" w:lineRule="atLeast"/>
        <w:ind w:left="540" w:hanging="540"/>
        <w:rPr>
          <w:sz w:val="24"/>
          <w:lang w:val="af-ZA"/>
        </w:rPr>
      </w:pPr>
    </w:p>
    <w:p w:rsidR="00E6032B" w:rsidRPr="00EE53FF" w:rsidRDefault="00E6032B" w:rsidP="00E6032B">
      <w:pPr>
        <w:jc w:val="both"/>
        <w:rPr>
          <w:b/>
          <w:sz w:val="28"/>
        </w:rPr>
      </w:pPr>
      <w:r>
        <w:rPr>
          <w:b/>
          <w:sz w:val="28"/>
        </w:rPr>
        <w:t>BORROWING POLICY</w:t>
      </w:r>
    </w:p>
    <w:p w:rsidR="00E6032B" w:rsidRDefault="00E6032B" w:rsidP="00E6032B">
      <w:pPr>
        <w:spacing w:after="0" w:line="24" w:lineRule="atLeast"/>
        <w:ind w:left="540" w:hanging="540"/>
        <w:rPr>
          <w:rFonts w:ascii="Arial" w:hAnsi="Arial" w:cs="Arial"/>
        </w:rPr>
      </w:pPr>
    </w:p>
    <w:tbl>
      <w:tblPr>
        <w:tblStyle w:val="TableGrid"/>
        <w:tblW w:w="0" w:type="auto"/>
        <w:tblLayout w:type="fixed"/>
        <w:tblLook w:val="04A0" w:firstRow="1" w:lastRow="0" w:firstColumn="1" w:lastColumn="0" w:noHBand="0" w:noVBand="1"/>
      </w:tblPr>
      <w:tblGrid>
        <w:gridCol w:w="4786"/>
        <w:gridCol w:w="4762"/>
      </w:tblGrid>
      <w:tr w:rsidR="00E6032B" w:rsidTr="00C4736A">
        <w:tc>
          <w:tcPr>
            <w:tcW w:w="4786" w:type="dxa"/>
            <w:tcBorders>
              <w:bottom w:val="single" w:sz="4" w:space="0" w:color="auto"/>
            </w:tcBorders>
            <w:shd w:val="clear" w:color="auto" w:fill="D9D9D9" w:themeFill="background1" w:themeFillShade="D9"/>
          </w:tcPr>
          <w:p w:rsidR="00E6032B" w:rsidRPr="00FE1EB5" w:rsidRDefault="00E6032B" w:rsidP="00C4736A">
            <w:pPr>
              <w:spacing w:before="60" w:after="60"/>
              <w:jc w:val="both"/>
              <w:rPr>
                <w:b/>
                <w:sz w:val="24"/>
              </w:rPr>
            </w:pPr>
            <w:r w:rsidRPr="00FE1EB5">
              <w:rPr>
                <w:b/>
                <w:sz w:val="24"/>
              </w:rPr>
              <w:t>CURRENT POLICY</w:t>
            </w:r>
          </w:p>
        </w:tc>
        <w:tc>
          <w:tcPr>
            <w:tcW w:w="4762" w:type="dxa"/>
            <w:tcBorders>
              <w:bottom w:val="single" w:sz="4" w:space="0" w:color="auto"/>
            </w:tcBorders>
            <w:shd w:val="clear" w:color="auto" w:fill="D9D9D9" w:themeFill="background1" w:themeFillShade="D9"/>
          </w:tcPr>
          <w:p w:rsidR="00E6032B" w:rsidRPr="00FE1EB5" w:rsidRDefault="00E6032B" w:rsidP="00C4736A">
            <w:pPr>
              <w:spacing w:before="60" w:after="60"/>
              <w:jc w:val="both"/>
              <w:rPr>
                <w:b/>
                <w:sz w:val="24"/>
              </w:rPr>
            </w:pPr>
            <w:r w:rsidRPr="00FE1EB5">
              <w:rPr>
                <w:b/>
                <w:sz w:val="24"/>
              </w:rPr>
              <w:t>RECOMMENDED ALTERATIONS</w:t>
            </w:r>
          </w:p>
        </w:tc>
      </w:tr>
      <w:tr w:rsidR="00E6032B" w:rsidTr="00C4736A">
        <w:tc>
          <w:tcPr>
            <w:tcW w:w="4786" w:type="dxa"/>
            <w:tcBorders>
              <w:top w:val="nil"/>
              <w:bottom w:val="nil"/>
            </w:tcBorders>
          </w:tcPr>
          <w:p w:rsidR="00E6032B" w:rsidRPr="00755819" w:rsidRDefault="00E6032B" w:rsidP="0012483E">
            <w:pPr>
              <w:pStyle w:val="Heading1"/>
              <w:numPr>
                <w:ilvl w:val="0"/>
                <w:numId w:val="16"/>
              </w:numPr>
              <w:spacing w:before="0" w:line="360" w:lineRule="auto"/>
              <w:ind w:hanging="578"/>
              <w:jc w:val="both"/>
              <w:outlineLvl w:val="0"/>
              <w:rPr>
                <w:rFonts w:asciiTheme="minorHAnsi" w:eastAsia="BatangChe" w:hAnsiTheme="minorHAnsi" w:cs="Arial"/>
                <w:b w:val="0"/>
                <w:color w:val="C00000"/>
                <w:sz w:val="24"/>
              </w:rPr>
            </w:pPr>
            <w:r w:rsidRPr="00755819">
              <w:rPr>
                <w:rFonts w:asciiTheme="minorHAnsi" w:eastAsia="BatangChe" w:hAnsiTheme="minorHAnsi" w:cs="Arial"/>
                <w:color w:val="C00000"/>
                <w:sz w:val="24"/>
              </w:rPr>
              <w:t>Security</w:t>
            </w:r>
          </w:p>
          <w:p w:rsidR="00E6032B" w:rsidRDefault="00E6032B" w:rsidP="0012483E">
            <w:pPr>
              <w:pStyle w:val="ListParagraph"/>
              <w:numPr>
                <w:ilvl w:val="1"/>
                <w:numId w:val="16"/>
              </w:numPr>
              <w:autoSpaceDE w:val="0"/>
              <w:autoSpaceDN w:val="0"/>
              <w:adjustRightInd w:val="0"/>
              <w:spacing w:line="360" w:lineRule="auto"/>
              <w:ind w:left="1134" w:hanging="425"/>
              <w:jc w:val="both"/>
              <w:rPr>
                <w:rFonts w:ascii="Cambria" w:hAnsi="Cambria" w:cs="Times New Roman"/>
              </w:rPr>
            </w:pPr>
            <w:r w:rsidRPr="00755819">
              <w:rPr>
                <w:rFonts w:ascii="Cambria" w:hAnsi="Cambria" w:cs="Times New Roman"/>
              </w:rPr>
              <w:t>The Municipal Finance Management Act provides that the Municipality may provide security for any of its debt obligations, including the giving of a lien, pledging, mortgaging or ceding an asset, or giving any other form of collateral. It may cede as security any category of revenue or rights of future revenue. Some Lenders may require the Municipality to agree to restrictions on debt that the Municipality may incur in future until the secured debt is settled.</w:t>
            </w:r>
          </w:p>
          <w:p w:rsidR="00E6032B" w:rsidRPr="00755819" w:rsidRDefault="00E6032B" w:rsidP="00E6032B">
            <w:pPr>
              <w:pStyle w:val="ListParagraph"/>
              <w:autoSpaceDE w:val="0"/>
              <w:autoSpaceDN w:val="0"/>
              <w:adjustRightInd w:val="0"/>
              <w:spacing w:line="360" w:lineRule="auto"/>
              <w:ind w:left="1134"/>
              <w:jc w:val="both"/>
              <w:rPr>
                <w:rFonts w:ascii="Cambria" w:hAnsi="Cambria" w:cs="Times New Roman"/>
              </w:rPr>
            </w:pPr>
          </w:p>
          <w:p w:rsidR="00E6032B" w:rsidRPr="00723360" w:rsidRDefault="00E6032B" w:rsidP="0012483E">
            <w:pPr>
              <w:pStyle w:val="ListParagraph"/>
              <w:numPr>
                <w:ilvl w:val="1"/>
                <w:numId w:val="16"/>
              </w:numPr>
              <w:autoSpaceDE w:val="0"/>
              <w:autoSpaceDN w:val="0"/>
              <w:adjustRightInd w:val="0"/>
              <w:spacing w:line="360" w:lineRule="auto"/>
              <w:ind w:left="1134" w:hanging="425"/>
              <w:jc w:val="both"/>
              <w:rPr>
                <w:rFonts w:ascii="Cambria" w:hAnsi="Cambria" w:cs="Times New Roman"/>
              </w:rPr>
            </w:pPr>
            <w:r w:rsidRPr="00723360">
              <w:rPr>
                <w:rFonts w:ascii="Cambria" w:hAnsi="Cambria" w:cs="Times New Roman"/>
              </w:rPr>
              <w:t>Currently one DBSA loan requires cession of the rental revenue the Bank.</w:t>
            </w:r>
          </w:p>
          <w:p w:rsidR="00E6032B" w:rsidRPr="00FD1731" w:rsidRDefault="00E6032B" w:rsidP="00C4736A">
            <w:pPr>
              <w:spacing w:before="60" w:after="60"/>
              <w:ind w:left="540" w:hanging="540"/>
              <w:rPr>
                <w:rFonts w:ascii="Arial" w:hAnsi="Arial" w:cs="Arial"/>
                <w:b/>
              </w:rPr>
            </w:pPr>
          </w:p>
        </w:tc>
        <w:tc>
          <w:tcPr>
            <w:tcW w:w="4762" w:type="dxa"/>
            <w:tcBorders>
              <w:top w:val="nil"/>
              <w:bottom w:val="nil"/>
            </w:tcBorders>
          </w:tcPr>
          <w:p w:rsidR="00E6032B" w:rsidRPr="00755819" w:rsidRDefault="00E6032B" w:rsidP="0012483E">
            <w:pPr>
              <w:pStyle w:val="Heading1"/>
              <w:numPr>
                <w:ilvl w:val="0"/>
                <w:numId w:val="17"/>
              </w:numPr>
              <w:spacing w:before="0" w:line="360" w:lineRule="auto"/>
              <w:jc w:val="both"/>
              <w:outlineLvl w:val="0"/>
              <w:rPr>
                <w:rFonts w:asciiTheme="minorHAnsi" w:eastAsia="BatangChe" w:hAnsiTheme="minorHAnsi" w:cs="Arial"/>
                <w:b w:val="0"/>
                <w:color w:val="C00000"/>
                <w:sz w:val="24"/>
              </w:rPr>
            </w:pPr>
            <w:r w:rsidRPr="00755819">
              <w:rPr>
                <w:rFonts w:asciiTheme="minorHAnsi" w:eastAsia="BatangChe" w:hAnsiTheme="minorHAnsi" w:cs="Arial"/>
                <w:color w:val="C00000"/>
                <w:sz w:val="24"/>
              </w:rPr>
              <w:t>Security</w:t>
            </w:r>
          </w:p>
          <w:p w:rsidR="00E6032B" w:rsidRDefault="00E6032B" w:rsidP="0012483E">
            <w:pPr>
              <w:pStyle w:val="ListParagraph"/>
              <w:numPr>
                <w:ilvl w:val="1"/>
                <w:numId w:val="17"/>
              </w:numPr>
              <w:autoSpaceDE w:val="0"/>
              <w:autoSpaceDN w:val="0"/>
              <w:adjustRightInd w:val="0"/>
              <w:spacing w:line="360" w:lineRule="auto"/>
              <w:ind w:left="1134" w:hanging="425"/>
              <w:jc w:val="both"/>
              <w:rPr>
                <w:rFonts w:ascii="Cambria" w:hAnsi="Cambria" w:cs="Times New Roman"/>
              </w:rPr>
            </w:pPr>
            <w:r w:rsidRPr="00755819">
              <w:rPr>
                <w:rFonts w:ascii="Cambria" w:hAnsi="Cambria" w:cs="Times New Roman"/>
              </w:rPr>
              <w:t>The Municipal Finance Management Act provides that the Municipality may provide security for any of its debt obligations, including the giving of a lien, pledging, mortgaging or ceding an asset, or giving any other form of collateral. It may cede as security any category of revenue or rights of future revenue. Some Lenders may require the Municipality to agree to restrictions on debt that the Municipality may incur in future until the secured debt is settled.</w:t>
            </w:r>
          </w:p>
          <w:p w:rsidR="00E6032B" w:rsidRPr="00755819" w:rsidRDefault="00E6032B" w:rsidP="00E6032B">
            <w:pPr>
              <w:pStyle w:val="ListParagraph"/>
              <w:autoSpaceDE w:val="0"/>
              <w:autoSpaceDN w:val="0"/>
              <w:adjustRightInd w:val="0"/>
              <w:spacing w:line="360" w:lineRule="auto"/>
              <w:ind w:left="1134"/>
              <w:jc w:val="both"/>
              <w:rPr>
                <w:rFonts w:ascii="Cambria" w:hAnsi="Cambria" w:cs="Times New Roman"/>
              </w:rPr>
            </w:pPr>
          </w:p>
          <w:p w:rsidR="00E6032B" w:rsidRPr="00723360" w:rsidRDefault="00E6032B" w:rsidP="0012483E">
            <w:pPr>
              <w:pStyle w:val="ListParagraph"/>
              <w:numPr>
                <w:ilvl w:val="1"/>
                <w:numId w:val="17"/>
              </w:numPr>
              <w:autoSpaceDE w:val="0"/>
              <w:autoSpaceDN w:val="0"/>
              <w:adjustRightInd w:val="0"/>
              <w:spacing w:line="360" w:lineRule="auto"/>
              <w:ind w:left="1134" w:hanging="425"/>
              <w:jc w:val="both"/>
              <w:rPr>
                <w:rFonts w:ascii="Cambria" w:hAnsi="Cambria" w:cs="Times New Roman"/>
              </w:rPr>
            </w:pPr>
            <w:r w:rsidRPr="00E6032B">
              <w:rPr>
                <w:rFonts w:ascii="Cambria" w:hAnsi="Cambria" w:cs="Times New Roman"/>
                <w:strike/>
              </w:rPr>
              <w:t>Currently one DBSA loan requires cession of the rental revenue the Bank</w:t>
            </w:r>
            <w:r w:rsidRPr="00723360">
              <w:rPr>
                <w:rFonts w:ascii="Cambria" w:hAnsi="Cambria" w:cs="Times New Roman"/>
              </w:rPr>
              <w:t>.</w:t>
            </w:r>
          </w:p>
          <w:p w:rsidR="00E6032B" w:rsidRPr="00F73170" w:rsidRDefault="00E6032B" w:rsidP="00C4736A">
            <w:pPr>
              <w:tabs>
                <w:tab w:val="left" w:pos="1168"/>
              </w:tabs>
              <w:spacing w:before="60" w:after="60"/>
              <w:ind w:left="1026" w:hanging="425"/>
              <w:jc w:val="both"/>
              <w:rPr>
                <w:i/>
                <w:sz w:val="24"/>
                <w:szCs w:val="24"/>
              </w:rPr>
            </w:pPr>
          </w:p>
        </w:tc>
      </w:tr>
      <w:tr w:rsidR="00E6032B" w:rsidTr="00C4736A">
        <w:tc>
          <w:tcPr>
            <w:tcW w:w="4786" w:type="dxa"/>
            <w:tcBorders>
              <w:top w:val="nil"/>
              <w:bottom w:val="single" w:sz="4" w:space="0" w:color="auto"/>
            </w:tcBorders>
          </w:tcPr>
          <w:p w:rsidR="00E6032B" w:rsidRPr="00861F87" w:rsidRDefault="00E6032B" w:rsidP="00C4736A">
            <w:pPr>
              <w:tabs>
                <w:tab w:val="left" w:pos="1134"/>
              </w:tabs>
              <w:spacing w:after="120" w:line="24" w:lineRule="atLeast"/>
              <w:jc w:val="both"/>
              <w:rPr>
                <w:rFonts w:ascii="Arial" w:hAnsi="Arial" w:cs="Arial"/>
                <w:dstrike/>
              </w:rPr>
            </w:pPr>
          </w:p>
        </w:tc>
        <w:tc>
          <w:tcPr>
            <w:tcW w:w="4762" w:type="dxa"/>
            <w:tcBorders>
              <w:top w:val="nil"/>
              <w:bottom w:val="single" w:sz="4" w:space="0" w:color="auto"/>
            </w:tcBorders>
          </w:tcPr>
          <w:p w:rsidR="00E6032B" w:rsidRPr="00B41218" w:rsidRDefault="00E6032B" w:rsidP="00C4736A">
            <w:pPr>
              <w:tabs>
                <w:tab w:val="left" w:pos="426"/>
              </w:tabs>
              <w:spacing w:line="24" w:lineRule="atLeast"/>
              <w:rPr>
                <w:rFonts w:ascii="Arial" w:hAnsi="Arial" w:cs="Arial"/>
              </w:rPr>
            </w:pPr>
          </w:p>
        </w:tc>
      </w:tr>
    </w:tbl>
    <w:p w:rsidR="0012483E" w:rsidRDefault="0012483E" w:rsidP="00E6032B">
      <w:pPr>
        <w:spacing w:after="0" w:line="24" w:lineRule="atLeast"/>
        <w:ind w:left="540" w:hanging="540"/>
        <w:rPr>
          <w:sz w:val="24"/>
          <w:lang w:val="af-ZA"/>
        </w:rPr>
      </w:pPr>
    </w:p>
    <w:p w:rsidR="0012483E" w:rsidRDefault="0012483E">
      <w:pPr>
        <w:rPr>
          <w:sz w:val="24"/>
          <w:lang w:val="af-ZA"/>
        </w:rPr>
      </w:pPr>
      <w:r>
        <w:rPr>
          <w:sz w:val="24"/>
          <w:lang w:val="af-ZA"/>
        </w:rPr>
        <w:br w:type="page"/>
      </w:r>
    </w:p>
    <w:p w:rsidR="00E6032B" w:rsidRDefault="00E6032B" w:rsidP="00E6032B">
      <w:pPr>
        <w:spacing w:after="0" w:line="24" w:lineRule="atLeast"/>
        <w:ind w:left="540" w:hanging="540"/>
        <w:rPr>
          <w:sz w:val="24"/>
          <w:lang w:val="af-ZA"/>
        </w:rPr>
      </w:pPr>
    </w:p>
    <w:p w:rsidR="003343DF" w:rsidRPr="00EE53FF" w:rsidRDefault="003343DF" w:rsidP="003343DF">
      <w:pPr>
        <w:jc w:val="both"/>
        <w:rPr>
          <w:b/>
          <w:sz w:val="28"/>
        </w:rPr>
      </w:pPr>
      <w:r>
        <w:rPr>
          <w:b/>
          <w:sz w:val="28"/>
        </w:rPr>
        <w:t>FUNDING AND RESERVES POLICY</w:t>
      </w:r>
    </w:p>
    <w:p w:rsidR="003343DF" w:rsidRDefault="003343DF" w:rsidP="003343DF">
      <w:pPr>
        <w:spacing w:after="0" w:line="24" w:lineRule="atLeast"/>
        <w:ind w:left="540" w:hanging="540"/>
        <w:rPr>
          <w:rFonts w:ascii="Arial" w:hAnsi="Arial" w:cs="Arial"/>
        </w:rPr>
      </w:pPr>
    </w:p>
    <w:tbl>
      <w:tblPr>
        <w:tblStyle w:val="TableGrid"/>
        <w:tblW w:w="0" w:type="auto"/>
        <w:tblLayout w:type="fixed"/>
        <w:tblLook w:val="04A0" w:firstRow="1" w:lastRow="0" w:firstColumn="1" w:lastColumn="0" w:noHBand="0" w:noVBand="1"/>
      </w:tblPr>
      <w:tblGrid>
        <w:gridCol w:w="4786"/>
        <w:gridCol w:w="4762"/>
      </w:tblGrid>
      <w:tr w:rsidR="003343DF" w:rsidTr="00C4736A">
        <w:tc>
          <w:tcPr>
            <w:tcW w:w="4786" w:type="dxa"/>
            <w:tcBorders>
              <w:bottom w:val="single" w:sz="4" w:space="0" w:color="auto"/>
            </w:tcBorders>
            <w:shd w:val="clear" w:color="auto" w:fill="D9D9D9" w:themeFill="background1" w:themeFillShade="D9"/>
          </w:tcPr>
          <w:p w:rsidR="003343DF" w:rsidRPr="00FE1EB5" w:rsidRDefault="003343DF" w:rsidP="00C4736A">
            <w:pPr>
              <w:spacing w:before="60" w:after="60"/>
              <w:jc w:val="both"/>
              <w:rPr>
                <w:b/>
                <w:sz w:val="24"/>
              </w:rPr>
            </w:pPr>
            <w:r w:rsidRPr="00FE1EB5">
              <w:rPr>
                <w:b/>
                <w:sz w:val="24"/>
              </w:rPr>
              <w:t>CURRENT POLICY</w:t>
            </w:r>
          </w:p>
        </w:tc>
        <w:tc>
          <w:tcPr>
            <w:tcW w:w="4762" w:type="dxa"/>
            <w:tcBorders>
              <w:bottom w:val="single" w:sz="4" w:space="0" w:color="auto"/>
            </w:tcBorders>
            <w:shd w:val="clear" w:color="auto" w:fill="D9D9D9" w:themeFill="background1" w:themeFillShade="D9"/>
          </w:tcPr>
          <w:p w:rsidR="003343DF" w:rsidRPr="00FE1EB5" w:rsidRDefault="003343DF" w:rsidP="00C4736A">
            <w:pPr>
              <w:spacing w:before="60" w:after="60"/>
              <w:jc w:val="both"/>
              <w:rPr>
                <w:b/>
                <w:sz w:val="24"/>
              </w:rPr>
            </w:pPr>
            <w:r w:rsidRPr="00FE1EB5">
              <w:rPr>
                <w:b/>
                <w:sz w:val="24"/>
              </w:rPr>
              <w:t>RECOMMENDED ALTERATIONS</w:t>
            </w:r>
          </w:p>
        </w:tc>
      </w:tr>
      <w:tr w:rsidR="003343DF" w:rsidTr="00C4736A">
        <w:tc>
          <w:tcPr>
            <w:tcW w:w="4786" w:type="dxa"/>
            <w:tcBorders>
              <w:top w:val="nil"/>
              <w:bottom w:val="nil"/>
            </w:tcBorders>
          </w:tcPr>
          <w:p w:rsidR="003343DF" w:rsidRPr="00B62375" w:rsidRDefault="003343DF" w:rsidP="0012483E">
            <w:pPr>
              <w:pStyle w:val="ListParagraph"/>
              <w:numPr>
                <w:ilvl w:val="0"/>
                <w:numId w:val="19"/>
              </w:numPr>
              <w:autoSpaceDE w:val="0"/>
              <w:autoSpaceDN w:val="0"/>
              <w:adjustRightInd w:val="0"/>
              <w:spacing w:line="360" w:lineRule="auto"/>
              <w:jc w:val="both"/>
              <w:rPr>
                <w:rFonts w:cs="Arial"/>
                <w:b/>
                <w:bCs/>
                <w:color w:val="C00000"/>
                <w:sz w:val="24"/>
                <w:szCs w:val="23"/>
              </w:rPr>
            </w:pPr>
            <w:r w:rsidRPr="00B62375">
              <w:rPr>
                <w:rFonts w:cs="Arial"/>
                <w:b/>
                <w:bCs/>
                <w:color w:val="C00000"/>
                <w:sz w:val="24"/>
                <w:szCs w:val="23"/>
              </w:rPr>
              <w:t>Capital Replacement Reserve (CRR)</w:t>
            </w:r>
          </w:p>
          <w:p w:rsidR="003343DF" w:rsidRDefault="003343DF" w:rsidP="003343DF">
            <w:pPr>
              <w:pStyle w:val="ListParagraph"/>
              <w:autoSpaceDE w:val="0"/>
              <w:autoSpaceDN w:val="0"/>
              <w:adjustRightInd w:val="0"/>
              <w:spacing w:line="360" w:lineRule="auto"/>
              <w:ind w:left="851"/>
              <w:jc w:val="both"/>
              <w:rPr>
                <w:rFonts w:cs="Arial"/>
                <w:color w:val="000000"/>
                <w:sz w:val="23"/>
                <w:szCs w:val="23"/>
              </w:rPr>
            </w:pPr>
          </w:p>
          <w:p w:rsidR="003343DF" w:rsidRPr="00D51533" w:rsidRDefault="003343DF" w:rsidP="0012483E">
            <w:pPr>
              <w:pStyle w:val="ListParagraph"/>
              <w:numPr>
                <w:ilvl w:val="1"/>
                <w:numId w:val="19"/>
              </w:numPr>
              <w:autoSpaceDE w:val="0"/>
              <w:autoSpaceDN w:val="0"/>
              <w:adjustRightInd w:val="0"/>
              <w:spacing w:line="360" w:lineRule="auto"/>
              <w:ind w:left="851" w:hanging="425"/>
              <w:jc w:val="both"/>
              <w:rPr>
                <w:rFonts w:cs="Arial"/>
                <w:color w:val="000000"/>
                <w:sz w:val="23"/>
                <w:szCs w:val="23"/>
              </w:rPr>
            </w:pPr>
            <w:r w:rsidRPr="00D51533">
              <w:rPr>
                <w:rFonts w:cs="Arial"/>
                <w:color w:val="000000"/>
                <w:sz w:val="23"/>
                <w:szCs w:val="23"/>
              </w:rPr>
              <w:t>Council shall establish a CRR for the purpose of financing capital projects and the acquisition of assets. Such reserve shall be established from the following sources of revenue:</w:t>
            </w:r>
          </w:p>
          <w:p w:rsidR="003343DF" w:rsidRPr="00D51533" w:rsidRDefault="003343DF" w:rsidP="0012483E">
            <w:pPr>
              <w:pStyle w:val="ListParagraph"/>
              <w:numPr>
                <w:ilvl w:val="0"/>
                <w:numId w:val="18"/>
              </w:numPr>
              <w:autoSpaceDE w:val="0"/>
              <w:autoSpaceDN w:val="0"/>
              <w:adjustRightInd w:val="0"/>
              <w:spacing w:line="360" w:lineRule="auto"/>
              <w:jc w:val="both"/>
              <w:rPr>
                <w:rFonts w:cs="Arial"/>
                <w:color w:val="000000"/>
                <w:sz w:val="23"/>
                <w:szCs w:val="23"/>
              </w:rPr>
            </w:pPr>
            <w:r w:rsidRPr="00D51533">
              <w:rPr>
                <w:rFonts w:cs="Arial"/>
                <w:color w:val="000000"/>
                <w:sz w:val="23"/>
                <w:szCs w:val="23"/>
              </w:rPr>
              <w:t>Un-appropriated cash-backed surpluses to the extent that such surpluses are not required for operational purposes;</w:t>
            </w:r>
          </w:p>
          <w:p w:rsidR="003343DF" w:rsidRPr="00D51533" w:rsidRDefault="003343DF" w:rsidP="0012483E">
            <w:pPr>
              <w:pStyle w:val="ListParagraph"/>
              <w:numPr>
                <w:ilvl w:val="0"/>
                <w:numId w:val="18"/>
              </w:numPr>
              <w:autoSpaceDE w:val="0"/>
              <w:autoSpaceDN w:val="0"/>
              <w:adjustRightInd w:val="0"/>
              <w:spacing w:line="360" w:lineRule="auto"/>
              <w:jc w:val="both"/>
              <w:rPr>
                <w:rFonts w:cs="Arial"/>
                <w:color w:val="000000"/>
                <w:sz w:val="23"/>
                <w:szCs w:val="23"/>
              </w:rPr>
            </w:pPr>
            <w:r w:rsidRPr="00D51533">
              <w:rPr>
                <w:rFonts w:cs="Arial"/>
                <w:color w:val="000000"/>
                <w:sz w:val="23"/>
                <w:szCs w:val="23"/>
              </w:rPr>
              <w:t>Interest on the investments of the CRR; and or in terms of the investments policy;</w:t>
            </w:r>
          </w:p>
          <w:p w:rsidR="003343DF" w:rsidRPr="00FD1731" w:rsidRDefault="003343DF" w:rsidP="00C4736A">
            <w:pPr>
              <w:spacing w:before="60" w:after="60"/>
              <w:ind w:left="540" w:hanging="540"/>
              <w:rPr>
                <w:rFonts w:ascii="Arial" w:hAnsi="Arial" w:cs="Arial"/>
                <w:b/>
              </w:rPr>
            </w:pPr>
          </w:p>
        </w:tc>
        <w:tc>
          <w:tcPr>
            <w:tcW w:w="4762" w:type="dxa"/>
            <w:tcBorders>
              <w:top w:val="nil"/>
              <w:bottom w:val="nil"/>
            </w:tcBorders>
          </w:tcPr>
          <w:p w:rsidR="003343DF" w:rsidRPr="00B62375" w:rsidRDefault="003343DF" w:rsidP="0012483E">
            <w:pPr>
              <w:pStyle w:val="ListParagraph"/>
              <w:numPr>
                <w:ilvl w:val="0"/>
                <w:numId w:val="20"/>
              </w:numPr>
              <w:autoSpaceDE w:val="0"/>
              <w:autoSpaceDN w:val="0"/>
              <w:adjustRightInd w:val="0"/>
              <w:spacing w:line="360" w:lineRule="auto"/>
              <w:jc w:val="both"/>
              <w:rPr>
                <w:rFonts w:cs="Arial"/>
                <w:b/>
                <w:bCs/>
                <w:color w:val="C00000"/>
                <w:sz w:val="24"/>
                <w:szCs w:val="23"/>
              </w:rPr>
            </w:pPr>
            <w:r w:rsidRPr="00B62375">
              <w:rPr>
                <w:rFonts w:cs="Arial"/>
                <w:b/>
                <w:bCs/>
                <w:color w:val="C00000"/>
                <w:sz w:val="24"/>
                <w:szCs w:val="23"/>
              </w:rPr>
              <w:t>Capital Replacement Reserve (CRR)</w:t>
            </w:r>
          </w:p>
          <w:p w:rsidR="003343DF" w:rsidRDefault="003343DF" w:rsidP="003343DF">
            <w:pPr>
              <w:pStyle w:val="ListParagraph"/>
              <w:autoSpaceDE w:val="0"/>
              <w:autoSpaceDN w:val="0"/>
              <w:adjustRightInd w:val="0"/>
              <w:spacing w:line="360" w:lineRule="auto"/>
              <w:ind w:left="851"/>
              <w:jc w:val="both"/>
              <w:rPr>
                <w:rFonts w:cs="Arial"/>
                <w:color w:val="000000"/>
                <w:sz w:val="23"/>
                <w:szCs w:val="23"/>
              </w:rPr>
            </w:pPr>
          </w:p>
          <w:p w:rsidR="003343DF" w:rsidRPr="00D51533" w:rsidRDefault="003343DF" w:rsidP="0012483E">
            <w:pPr>
              <w:pStyle w:val="ListParagraph"/>
              <w:numPr>
                <w:ilvl w:val="1"/>
                <w:numId w:val="20"/>
              </w:numPr>
              <w:autoSpaceDE w:val="0"/>
              <w:autoSpaceDN w:val="0"/>
              <w:adjustRightInd w:val="0"/>
              <w:spacing w:line="360" w:lineRule="auto"/>
              <w:ind w:left="851" w:hanging="425"/>
              <w:jc w:val="both"/>
              <w:rPr>
                <w:rFonts w:cs="Arial"/>
                <w:color w:val="000000"/>
                <w:sz w:val="23"/>
                <w:szCs w:val="23"/>
              </w:rPr>
            </w:pPr>
            <w:r w:rsidRPr="00D51533">
              <w:rPr>
                <w:rFonts w:cs="Arial"/>
                <w:color w:val="000000"/>
                <w:sz w:val="23"/>
                <w:szCs w:val="23"/>
              </w:rPr>
              <w:t>Council shall establish a CRR for the purpose of financing capital projects and the acquisition of assets. Such reserve shall be established from the following sources of revenue:</w:t>
            </w:r>
          </w:p>
          <w:p w:rsidR="003343DF" w:rsidRPr="00D51533" w:rsidRDefault="003343DF" w:rsidP="0012483E">
            <w:pPr>
              <w:pStyle w:val="ListParagraph"/>
              <w:numPr>
                <w:ilvl w:val="0"/>
                <w:numId w:val="18"/>
              </w:numPr>
              <w:autoSpaceDE w:val="0"/>
              <w:autoSpaceDN w:val="0"/>
              <w:adjustRightInd w:val="0"/>
              <w:spacing w:line="360" w:lineRule="auto"/>
              <w:jc w:val="both"/>
              <w:rPr>
                <w:rFonts w:cs="Arial"/>
                <w:color w:val="000000"/>
                <w:sz w:val="23"/>
                <w:szCs w:val="23"/>
              </w:rPr>
            </w:pPr>
            <w:r w:rsidRPr="00D51533">
              <w:rPr>
                <w:rFonts w:cs="Arial"/>
                <w:color w:val="000000"/>
                <w:sz w:val="23"/>
                <w:szCs w:val="23"/>
              </w:rPr>
              <w:t>Un-appropriated cash-backed surpluses to the extent that such surpluses are not required for operational purposes;</w:t>
            </w:r>
          </w:p>
          <w:p w:rsidR="003343DF" w:rsidRPr="00D51533" w:rsidRDefault="003343DF" w:rsidP="0012483E">
            <w:pPr>
              <w:pStyle w:val="ListParagraph"/>
              <w:numPr>
                <w:ilvl w:val="0"/>
                <w:numId w:val="18"/>
              </w:numPr>
              <w:autoSpaceDE w:val="0"/>
              <w:autoSpaceDN w:val="0"/>
              <w:adjustRightInd w:val="0"/>
              <w:spacing w:line="360" w:lineRule="auto"/>
              <w:jc w:val="both"/>
              <w:rPr>
                <w:rFonts w:cs="Arial"/>
                <w:color w:val="000000"/>
                <w:sz w:val="23"/>
                <w:szCs w:val="23"/>
              </w:rPr>
            </w:pPr>
            <w:r w:rsidRPr="00D51533">
              <w:rPr>
                <w:rFonts w:cs="Arial"/>
                <w:color w:val="000000"/>
                <w:sz w:val="23"/>
                <w:szCs w:val="23"/>
              </w:rPr>
              <w:t xml:space="preserve">Interest on the investments of the CRR; </w:t>
            </w:r>
            <w:r w:rsidRPr="003343DF">
              <w:rPr>
                <w:rFonts w:cs="Arial"/>
                <w:strike/>
                <w:color w:val="000000"/>
                <w:sz w:val="23"/>
                <w:szCs w:val="23"/>
              </w:rPr>
              <w:t>and or in terms of the investments policy;</w:t>
            </w:r>
            <w:r>
              <w:rPr>
                <w:rFonts w:cs="Arial"/>
                <w:strike/>
                <w:color w:val="000000"/>
                <w:sz w:val="23"/>
                <w:szCs w:val="23"/>
              </w:rPr>
              <w:t xml:space="preserve"> </w:t>
            </w:r>
            <w:r>
              <w:rPr>
                <w:rFonts w:cs="Arial"/>
                <w:i/>
                <w:color w:val="000000"/>
                <w:sz w:val="23"/>
                <w:szCs w:val="23"/>
              </w:rPr>
              <w:t>if the CRR is invested in a separate account or investment</w:t>
            </w:r>
          </w:p>
          <w:p w:rsidR="003343DF" w:rsidRPr="00F73170" w:rsidRDefault="003343DF" w:rsidP="00C4736A">
            <w:pPr>
              <w:tabs>
                <w:tab w:val="left" w:pos="1168"/>
              </w:tabs>
              <w:spacing w:before="60" w:after="60"/>
              <w:ind w:left="1026" w:hanging="425"/>
              <w:jc w:val="both"/>
              <w:rPr>
                <w:i/>
                <w:sz w:val="24"/>
                <w:szCs w:val="24"/>
              </w:rPr>
            </w:pPr>
          </w:p>
        </w:tc>
      </w:tr>
      <w:tr w:rsidR="003343DF" w:rsidTr="00C4736A">
        <w:tc>
          <w:tcPr>
            <w:tcW w:w="4786" w:type="dxa"/>
            <w:tcBorders>
              <w:top w:val="nil"/>
              <w:bottom w:val="single" w:sz="4" w:space="0" w:color="auto"/>
            </w:tcBorders>
          </w:tcPr>
          <w:p w:rsidR="003343DF" w:rsidRPr="00861F87" w:rsidRDefault="003343DF" w:rsidP="00C4736A">
            <w:pPr>
              <w:tabs>
                <w:tab w:val="left" w:pos="1134"/>
              </w:tabs>
              <w:spacing w:after="120" w:line="24" w:lineRule="atLeast"/>
              <w:jc w:val="both"/>
              <w:rPr>
                <w:rFonts w:ascii="Arial" w:hAnsi="Arial" w:cs="Arial"/>
                <w:dstrike/>
              </w:rPr>
            </w:pPr>
          </w:p>
        </w:tc>
        <w:tc>
          <w:tcPr>
            <w:tcW w:w="4762" w:type="dxa"/>
            <w:tcBorders>
              <w:top w:val="nil"/>
              <w:bottom w:val="single" w:sz="4" w:space="0" w:color="auto"/>
            </w:tcBorders>
          </w:tcPr>
          <w:p w:rsidR="003343DF" w:rsidRPr="00B41218" w:rsidRDefault="003343DF" w:rsidP="00C4736A">
            <w:pPr>
              <w:tabs>
                <w:tab w:val="left" w:pos="426"/>
              </w:tabs>
              <w:spacing w:line="24" w:lineRule="atLeast"/>
              <w:rPr>
                <w:rFonts w:ascii="Arial" w:hAnsi="Arial" w:cs="Arial"/>
              </w:rPr>
            </w:pPr>
          </w:p>
        </w:tc>
      </w:tr>
    </w:tbl>
    <w:p w:rsidR="00F73170" w:rsidRDefault="00F73170" w:rsidP="00D05ED2">
      <w:pPr>
        <w:spacing w:after="0" w:line="24" w:lineRule="atLeast"/>
        <w:ind w:left="540" w:hanging="540"/>
        <w:rPr>
          <w:sz w:val="24"/>
          <w:lang w:val="af-ZA"/>
        </w:rPr>
      </w:pPr>
    </w:p>
    <w:p w:rsidR="00CA056E" w:rsidRPr="00EE53FF" w:rsidRDefault="00CA056E" w:rsidP="00CA056E">
      <w:pPr>
        <w:jc w:val="both"/>
        <w:rPr>
          <w:b/>
          <w:sz w:val="28"/>
        </w:rPr>
      </w:pPr>
      <w:r>
        <w:rPr>
          <w:b/>
          <w:sz w:val="28"/>
        </w:rPr>
        <w:t>SCM POLICY</w:t>
      </w:r>
    </w:p>
    <w:p w:rsidR="00CA056E" w:rsidRDefault="00CA056E" w:rsidP="00CA056E">
      <w:pPr>
        <w:spacing w:after="0" w:line="24" w:lineRule="atLeast"/>
        <w:ind w:left="540" w:hanging="540"/>
        <w:rPr>
          <w:rFonts w:ascii="Arial" w:hAnsi="Arial" w:cs="Arial"/>
        </w:rPr>
      </w:pPr>
    </w:p>
    <w:tbl>
      <w:tblPr>
        <w:tblStyle w:val="TableGrid"/>
        <w:tblW w:w="0" w:type="auto"/>
        <w:tblLayout w:type="fixed"/>
        <w:tblLook w:val="04A0" w:firstRow="1" w:lastRow="0" w:firstColumn="1" w:lastColumn="0" w:noHBand="0" w:noVBand="1"/>
      </w:tblPr>
      <w:tblGrid>
        <w:gridCol w:w="4786"/>
        <w:gridCol w:w="4762"/>
      </w:tblGrid>
      <w:tr w:rsidR="00CA056E" w:rsidTr="00C4736A">
        <w:tc>
          <w:tcPr>
            <w:tcW w:w="4786" w:type="dxa"/>
            <w:tcBorders>
              <w:bottom w:val="single" w:sz="4" w:space="0" w:color="auto"/>
            </w:tcBorders>
            <w:shd w:val="clear" w:color="auto" w:fill="D9D9D9" w:themeFill="background1" w:themeFillShade="D9"/>
          </w:tcPr>
          <w:p w:rsidR="00CA056E" w:rsidRPr="00FE1EB5" w:rsidRDefault="00CA056E" w:rsidP="00C4736A">
            <w:pPr>
              <w:spacing w:before="60" w:after="60"/>
              <w:jc w:val="both"/>
              <w:rPr>
                <w:b/>
                <w:sz w:val="24"/>
              </w:rPr>
            </w:pPr>
            <w:r w:rsidRPr="00FE1EB5">
              <w:rPr>
                <w:b/>
                <w:sz w:val="24"/>
              </w:rPr>
              <w:t>CURRENT POLICY</w:t>
            </w:r>
          </w:p>
        </w:tc>
        <w:tc>
          <w:tcPr>
            <w:tcW w:w="4762" w:type="dxa"/>
            <w:tcBorders>
              <w:bottom w:val="single" w:sz="4" w:space="0" w:color="auto"/>
            </w:tcBorders>
            <w:shd w:val="clear" w:color="auto" w:fill="D9D9D9" w:themeFill="background1" w:themeFillShade="D9"/>
          </w:tcPr>
          <w:p w:rsidR="00CA056E" w:rsidRPr="00FE1EB5" w:rsidRDefault="00CA056E" w:rsidP="00C4736A">
            <w:pPr>
              <w:spacing w:before="60" w:after="60"/>
              <w:jc w:val="both"/>
              <w:rPr>
                <w:b/>
                <w:sz w:val="24"/>
              </w:rPr>
            </w:pPr>
            <w:r w:rsidRPr="00FE1EB5">
              <w:rPr>
                <w:b/>
                <w:sz w:val="24"/>
              </w:rPr>
              <w:t>RECOMMENDED ALTERATIONS</w:t>
            </w:r>
          </w:p>
        </w:tc>
      </w:tr>
      <w:tr w:rsidR="00CA056E" w:rsidTr="00C4736A">
        <w:tc>
          <w:tcPr>
            <w:tcW w:w="4786" w:type="dxa"/>
            <w:tcBorders>
              <w:top w:val="nil"/>
              <w:bottom w:val="nil"/>
            </w:tcBorders>
          </w:tcPr>
          <w:p w:rsidR="00CA056E" w:rsidRPr="001125ED" w:rsidRDefault="00CA056E" w:rsidP="00CA056E">
            <w:pPr>
              <w:spacing w:after="120"/>
              <w:jc w:val="right"/>
              <w:rPr>
                <w:rFonts w:ascii="Arial" w:hAnsi="Arial" w:cs="Arial"/>
                <w:b/>
                <w:i/>
                <w:sz w:val="24"/>
                <w:szCs w:val="24"/>
              </w:rPr>
            </w:pPr>
            <w:r w:rsidRPr="00D0787C">
              <w:rPr>
                <w:rFonts w:ascii="Arial" w:hAnsi="Arial" w:cs="Arial"/>
                <w:b/>
                <w:i/>
                <w:sz w:val="24"/>
                <w:szCs w:val="24"/>
              </w:rPr>
              <w:t xml:space="preserve">ANNEXURE  </w:t>
            </w:r>
            <w:r>
              <w:rPr>
                <w:rFonts w:ascii="Arial" w:hAnsi="Arial" w:cs="Arial"/>
                <w:b/>
                <w:i/>
                <w:sz w:val="24"/>
                <w:szCs w:val="24"/>
              </w:rPr>
              <w:t>2</w:t>
            </w:r>
          </w:p>
          <w:p w:rsidR="00CA056E" w:rsidRPr="00052421" w:rsidRDefault="00CA056E" w:rsidP="00CA056E">
            <w:pPr>
              <w:jc w:val="center"/>
              <w:rPr>
                <w:rFonts w:ascii="Arial" w:hAnsi="Arial" w:cs="Arial"/>
                <w:b/>
                <w:sz w:val="28"/>
                <w:szCs w:val="24"/>
              </w:rPr>
            </w:pPr>
            <w:r>
              <w:rPr>
                <w:rFonts w:ascii="Arial" w:hAnsi="Arial" w:cs="Arial"/>
                <w:b/>
                <w:sz w:val="28"/>
                <w:szCs w:val="24"/>
              </w:rPr>
              <w:t>EVALUATION OF TENDERS</w:t>
            </w:r>
          </w:p>
          <w:p w:rsidR="00CA056E" w:rsidRPr="00CA056E" w:rsidRDefault="00CA056E" w:rsidP="00CA056E">
            <w:pPr>
              <w:tabs>
                <w:tab w:val="left" w:pos="709"/>
              </w:tabs>
              <w:jc w:val="both"/>
              <w:rPr>
                <w:rFonts w:ascii="Arial" w:eastAsia="Calibri" w:hAnsi="Arial" w:cs="Arial"/>
                <w:b/>
                <w:sz w:val="24"/>
                <w:lang w:eastAsia="en-US"/>
              </w:rPr>
            </w:pPr>
            <w:r w:rsidRPr="00CA056E">
              <w:rPr>
                <w:rFonts w:ascii="Arial" w:eastAsia="Calibri" w:hAnsi="Arial" w:cs="Arial"/>
                <w:b/>
                <w:sz w:val="24"/>
                <w:lang w:eastAsia="en-US"/>
              </w:rPr>
              <w:t>1.</w:t>
            </w:r>
            <w:r w:rsidRPr="00CA056E">
              <w:rPr>
                <w:rFonts w:ascii="Arial" w:eastAsia="Calibri" w:hAnsi="Arial" w:cs="Arial"/>
                <w:b/>
                <w:sz w:val="24"/>
                <w:lang w:eastAsia="en-US"/>
              </w:rPr>
              <w:tab/>
              <w:t>Preference Points System</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1.3</w:t>
            </w:r>
            <w:r w:rsidRPr="00CA056E">
              <w:rPr>
                <w:rFonts w:ascii="Arial" w:eastAsia="Calibri" w:hAnsi="Arial" w:cs="Arial"/>
                <w:lang w:eastAsia="en-US"/>
              </w:rPr>
              <w:tab/>
              <w:t>The limits set in the PPPFA regulations are as follows:</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sym w:font="Symbol" w:char="F0A8"/>
            </w:r>
            <w:r w:rsidRPr="00CA056E">
              <w:rPr>
                <w:rFonts w:ascii="Arial" w:eastAsia="Calibri" w:hAnsi="Arial" w:cs="Arial"/>
                <w:lang w:eastAsia="en-US"/>
              </w:rPr>
              <w:tab/>
              <w:t xml:space="preserve">The 80/20 system for requirements with a Rand value of up to R </w:t>
            </w:r>
            <w:r>
              <w:rPr>
                <w:rFonts w:ascii="Arial" w:eastAsia="Calibri" w:hAnsi="Arial" w:cs="Arial"/>
                <w:lang w:eastAsia="en-US"/>
              </w:rPr>
              <w:t>5</w:t>
            </w:r>
            <w:r w:rsidRPr="00CA056E">
              <w:rPr>
                <w:rFonts w:ascii="Arial" w:eastAsia="Calibri" w:hAnsi="Arial" w:cs="Arial"/>
                <w:lang w:eastAsia="en-US"/>
              </w:rPr>
              <w:t>00 000.</w:t>
            </w:r>
          </w:p>
          <w:p w:rsidR="00CA056E" w:rsidRPr="00CA056E" w:rsidRDefault="00CA056E" w:rsidP="00CA056E">
            <w:pPr>
              <w:spacing w:after="240"/>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sym w:font="Symbol" w:char="F0A8"/>
            </w:r>
            <w:r w:rsidRPr="00CA056E">
              <w:rPr>
                <w:rFonts w:ascii="Arial" w:eastAsia="Calibri" w:hAnsi="Arial" w:cs="Arial"/>
                <w:lang w:eastAsia="en-US"/>
              </w:rPr>
              <w:tab/>
              <w:t xml:space="preserve">The 90/10 system for requirements with a Rand value above R </w:t>
            </w:r>
            <w:r>
              <w:rPr>
                <w:rFonts w:ascii="Arial" w:eastAsia="Calibri" w:hAnsi="Arial" w:cs="Arial"/>
                <w:lang w:eastAsia="en-US"/>
              </w:rPr>
              <w:t>5</w:t>
            </w:r>
            <w:r w:rsidRPr="00CA056E">
              <w:rPr>
                <w:rFonts w:ascii="Arial" w:eastAsia="Calibri" w:hAnsi="Arial" w:cs="Arial"/>
                <w:lang w:eastAsia="en-US"/>
              </w:rPr>
              <w:t>00 000.</w:t>
            </w:r>
          </w:p>
          <w:p w:rsidR="00CA056E" w:rsidRPr="00FD1731" w:rsidRDefault="00CA056E" w:rsidP="00C4736A">
            <w:pPr>
              <w:spacing w:before="60" w:after="60"/>
              <w:ind w:left="540" w:hanging="540"/>
              <w:rPr>
                <w:rFonts w:ascii="Arial" w:hAnsi="Arial" w:cs="Arial"/>
                <w:b/>
              </w:rPr>
            </w:pPr>
          </w:p>
        </w:tc>
        <w:tc>
          <w:tcPr>
            <w:tcW w:w="4762" w:type="dxa"/>
            <w:tcBorders>
              <w:top w:val="nil"/>
              <w:bottom w:val="nil"/>
            </w:tcBorders>
          </w:tcPr>
          <w:p w:rsidR="00CA056E" w:rsidRPr="001125ED" w:rsidRDefault="00CA056E" w:rsidP="00CA056E">
            <w:pPr>
              <w:spacing w:after="120"/>
              <w:jc w:val="right"/>
              <w:rPr>
                <w:rFonts w:ascii="Arial" w:hAnsi="Arial" w:cs="Arial"/>
                <w:b/>
                <w:i/>
                <w:sz w:val="24"/>
                <w:szCs w:val="24"/>
              </w:rPr>
            </w:pPr>
            <w:r w:rsidRPr="00D0787C">
              <w:rPr>
                <w:rFonts w:ascii="Arial" w:hAnsi="Arial" w:cs="Arial"/>
                <w:b/>
                <w:i/>
                <w:sz w:val="24"/>
                <w:szCs w:val="24"/>
              </w:rPr>
              <w:lastRenderedPageBreak/>
              <w:t xml:space="preserve">ANNEXURE  </w:t>
            </w:r>
            <w:r>
              <w:rPr>
                <w:rFonts w:ascii="Arial" w:hAnsi="Arial" w:cs="Arial"/>
                <w:b/>
                <w:i/>
                <w:sz w:val="24"/>
                <w:szCs w:val="24"/>
              </w:rPr>
              <w:t>2</w:t>
            </w:r>
          </w:p>
          <w:p w:rsidR="00CA056E" w:rsidRPr="00052421" w:rsidRDefault="00CA056E" w:rsidP="00CA056E">
            <w:pPr>
              <w:jc w:val="center"/>
              <w:rPr>
                <w:rFonts w:ascii="Arial" w:hAnsi="Arial" w:cs="Arial"/>
                <w:b/>
                <w:sz w:val="28"/>
                <w:szCs w:val="24"/>
              </w:rPr>
            </w:pPr>
            <w:r>
              <w:rPr>
                <w:rFonts w:ascii="Arial" w:hAnsi="Arial" w:cs="Arial"/>
                <w:b/>
                <w:sz w:val="28"/>
                <w:szCs w:val="24"/>
              </w:rPr>
              <w:t>EVALUATION OF TENDERS</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1.3</w:t>
            </w:r>
            <w:r w:rsidRPr="00CA056E">
              <w:rPr>
                <w:rFonts w:ascii="Arial" w:eastAsia="Calibri" w:hAnsi="Arial" w:cs="Arial"/>
                <w:lang w:eastAsia="en-US"/>
              </w:rPr>
              <w:tab/>
              <w:t>The limits set in the PPPFA regulations are as follows:</w:t>
            </w:r>
          </w:p>
          <w:p w:rsidR="00CA056E" w:rsidRPr="00CA056E" w:rsidRDefault="00CA056E" w:rsidP="00CA056E">
            <w:pPr>
              <w:spacing w:after="120"/>
              <w:jc w:val="both"/>
              <w:rPr>
                <w:rFonts w:ascii="Arial" w:eastAsia="Calibri" w:hAnsi="Arial" w:cs="Arial"/>
                <w:i/>
                <w:lang w:eastAsia="en-US"/>
              </w:rPr>
            </w:pPr>
            <w:r w:rsidRPr="00CA056E">
              <w:rPr>
                <w:rFonts w:ascii="Arial" w:eastAsia="Calibri" w:hAnsi="Arial" w:cs="Arial"/>
                <w:lang w:eastAsia="en-US"/>
              </w:rPr>
              <w:tab/>
            </w:r>
            <w:r w:rsidRPr="00CA056E">
              <w:rPr>
                <w:rFonts w:ascii="Arial" w:eastAsia="Calibri" w:hAnsi="Arial" w:cs="Arial"/>
                <w:lang w:eastAsia="en-US"/>
              </w:rPr>
              <w:sym w:font="Symbol" w:char="F0A8"/>
            </w:r>
            <w:r w:rsidRPr="00CA056E">
              <w:rPr>
                <w:rFonts w:ascii="Arial" w:eastAsia="Calibri" w:hAnsi="Arial" w:cs="Arial"/>
                <w:lang w:eastAsia="en-US"/>
              </w:rPr>
              <w:tab/>
              <w:t xml:space="preserve">The 80/20 system for requirements with a Rand value of up to </w:t>
            </w:r>
            <w:r w:rsidRPr="00CA056E">
              <w:rPr>
                <w:rFonts w:ascii="Arial" w:eastAsia="Calibri" w:hAnsi="Arial" w:cs="Arial"/>
                <w:i/>
                <w:lang w:eastAsia="en-US"/>
              </w:rPr>
              <w:t>R 1 000 000.</w:t>
            </w:r>
          </w:p>
          <w:p w:rsidR="00CA056E" w:rsidRPr="00CA056E" w:rsidRDefault="00CA056E" w:rsidP="00CA056E">
            <w:pPr>
              <w:spacing w:after="240"/>
              <w:jc w:val="both"/>
              <w:rPr>
                <w:rFonts w:ascii="Arial" w:eastAsia="Calibri" w:hAnsi="Arial" w:cs="Arial"/>
                <w:i/>
                <w:lang w:eastAsia="en-US"/>
              </w:rPr>
            </w:pPr>
            <w:r w:rsidRPr="00CA056E">
              <w:rPr>
                <w:rFonts w:ascii="Arial" w:eastAsia="Calibri" w:hAnsi="Arial" w:cs="Arial"/>
                <w:lang w:eastAsia="en-US"/>
              </w:rPr>
              <w:tab/>
            </w:r>
            <w:r w:rsidRPr="00CA056E">
              <w:rPr>
                <w:rFonts w:ascii="Arial" w:eastAsia="Calibri" w:hAnsi="Arial" w:cs="Arial"/>
                <w:lang w:eastAsia="en-US"/>
              </w:rPr>
              <w:sym w:font="Symbol" w:char="F0A8"/>
            </w:r>
            <w:r w:rsidRPr="00CA056E">
              <w:rPr>
                <w:rFonts w:ascii="Arial" w:eastAsia="Calibri" w:hAnsi="Arial" w:cs="Arial"/>
                <w:lang w:eastAsia="en-US"/>
              </w:rPr>
              <w:tab/>
              <w:t xml:space="preserve">The 90/10 system for requirements with a Rand value above </w:t>
            </w:r>
            <w:r w:rsidRPr="00CA056E">
              <w:rPr>
                <w:rFonts w:ascii="Arial" w:eastAsia="Calibri" w:hAnsi="Arial" w:cs="Arial"/>
                <w:i/>
                <w:lang w:eastAsia="en-US"/>
              </w:rPr>
              <w:t>R 1 000 000.</w:t>
            </w:r>
          </w:p>
          <w:p w:rsidR="00CA056E" w:rsidRPr="00F73170" w:rsidRDefault="00CA056E" w:rsidP="00C4736A">
            <w:pPr>
              <w:tabs>
                <w:tab w:val="left" w:pos="1168"/>
              </w:tabs>
              <w:spacing w:before="60" w:after="60"/>
              <w:ind w:left="1026" w:hanging="425"/>
              <w:jc w:val="both"/>
              <w:rPr>
                <w:i/>
                <w:sz w:val="24"/>
                <w:szCs w:val="24"/>
              </w:rPr>
            </w:pPr>
          </w:p>
        </w:tc>
      </w:tr>
      <w:tr w:rsidR="00CA056E" w:rsidTr="00CA056E">
        <w:tc>
          <w:tcPr>
            <w:tcW w:w="4786" w:type="dxa"/>
            <w:tcBorders>
              <w:top w:val="nil"/>
              <w:bottom w:val="nil"/>
            </w:tcBorders>
          </w:tcPr>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1.4</w:t>
            </w:r>
            <w:r w:rsidRPr="00CA056E">
              <w:rPr>
                <w:rFonts w:ascii="Arial" w:eastAsia="Calibri" w:hAnsi="Arial" w:cs="Arial"/>
                <w:lang w:eastAsia="en-US"/>
              </w:rPr>
              <w:tab/>
              <w:t>Preference points for any bid or quotation above R 10 000 shall be awarded for:</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t>(a)</w:t>
            </w:r>
            <w:r w:rsidRPr="00CA056E">
              <w:rPr>
                <w:rFonts w:ascii="Arial" w:eastAsia="Calibri" w:hAnsi="Arial" w:cs="Arial"/>
                <w:lang w:eastAsia="en-US"/>
              </w:rPr>
              <w:tab/>
              <w:t>Price; and</w:t>
            </w:r>
          </w:p>
          <w:p w:rsidR="00CA056E" w:rsidRDefault="00CA056E" w:rsidP="00CA056E">
            <w:pPr>
              <w:spacing w:after="240"/>
              <w:jc w:val="both"/>
              <w:rPr>
                <w:rFonts w:ascii="Arial" w:eastAsia="Calibri" w:hAnsi="Arial" w:cs="Arial"/>
                <w:lang w:eastAsia="en-US"/>
              </w:rPr>
            </w:pPr>
            <w:r w:rsidRPr="00CA056E">
              <w:rPr>
                <w:rFonts w:ascii="Arial" w:eastAsia="Calibri" w:hAnsi="Arial" w:cs="Arial"/>
                <w:lang w:eastAsia="en-US"/>
              </w:rPr>
              <w:tab/>
              <w:t>(b)</w:t>
            </w:r>
            <w:r w:rsidRPr="00CA056E">
              <w:rPr>
                <w:rFonts w:ascii="Arial" w:eastAsia="Calibri" w:hAnsi="Arial" w:cs="Arial"/>
                <w:lang w:eastAsia="en-US"/>
              </w:rPr>
              <w:tab/>
              <w:t>Specific contract participation goals</w:t>
            </w:r>
          </w:p>
          <w:p w:rsidR="00BE6C60" w:rsidRDefault="00BE6C60" w:rsidP="00CA056E">
            <w:pPr>
              <w:spacing w:after="240"/>
              <w:jc w:val="both"/>
              <w:rPr>
                <w:rFonts w:ascii="Arial" w:eastAsia="Calibri" w:hAnsi="Arial" w:cs="Arial"/>
                <w:lang w:eastAsia="en-US"/>
              </w:rPr>
            </w:pPr>
          </w:p>
          <w:p w:rsidR="00BE6C60" w:rsidRDefault="00BE6C60" w:rsidP="00CA056E">
            <w:pPr>
              <w:spacing w:after="240"/>
              <w:jc w:val="both"/>
              <w:rPr>
                <w:rFonts w:ascii="Arial" w:eastAsia="Calibri" w:hAnsi="Arial" w:cs="Arial"/>
                <w:lang w:eastAsia="en-US"/>
              </w:rPr>
            </w:pP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1.5</w:t>
            </w:r>
            <w:r w:rsidRPr="00CA056E">
              <w:rPr>
                <w:rFonts w:ascii="Arial" w:eastAsia="Calibri" w:hAnsi="Arial" w:cs="Arial"/>
                <w:lang w:eastAsia="en-US"/>
              </w:rPr>
              <w:tab/>
              <w:t>Regarding specific contract participation goals, points are awarded for:</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t>(a)</w:t>
            </w:r>
            <w:r w:rsidRPr="00CA056E">
              <w:rPr>
                <w:rFonts w:ascii="Arial" w:eastAsia="Calibri" w:hAnsi="Arial" w:cs="Arial"/>
                <w:lang w:eastAsia="en-US"/>
              </w:rPr>
              <w:tab/>
              <w:t>Historically Disadvantaged Individuals (HDI’s):</w:t>
            </w:r>
          </w:p>
          <w:p w:rsidR="00CA056E" w:rsidRPr="00CA056E" w:rsidRDefault="00CA056E" w:rsidP="00CA056E">
            <w:pPr>
              <w:spacing w:after="120"/>
              <w:ind w:left="2160" w:hanging="720"/>
              <w:jc w:val="both"/>
              <w:rPr>
                <w:rFonts w:ascii="Arial" w:eastAsia="Calibri" w:hAnsi="Arial" w:cs="Arial"/>
                <w:lang w:eastAsia="en-US"/>
              </w:rPr>
            </w:pPr>
            <w:r w:rsidRPr="00CA056E">
              <w:rPr>
                <w:rFonts w:ascii="Arial" w:eastAsia="Calibri" w:hAnsi="Arial" w:cs="Arial"/>
                <w:lang w:eastAsia="en-US"/>
              </w:rPr>
              <w:t>(</w:t>
            </w:r>
            <w:proofErr w:type="spellStart"/>
            <w:r w:rsidRPr="00CA056E">
              <w:rPr>
                <w:rFonts w:ascii="Arial" w:eastAsia="Calibri" w:hAnsi="Arial" w:cs="Arial"/>
                <w:lang w:eastAsia="en-US"/>
              </w:rPr>
              <w:t>i</w:t>
            </w:r>
            <w:proofErr w:type="spellEnd"/>
            <w:r w:rsidRPr="00CA056E">
              <w:rPr>
                <w:rFonts w:ascii="Arial" w:eastAsia="Calibri" w:hAnsi="Arial" w:cs="Arial"/>
                <w:lang w:eastAsia="en-US"/>
              </w:rPr>
              <w:t>)</w:t>
            </w:r>
            <w:r w:rsidRPr="00CA056E">
              <w:rPr>
                <w:rFonts w:ascii="Arial" w:eastAsia="Calibri" w:hAnsi="Arial" w:cs="Arial"/>
                <w:lang w:eastAsia="en-US"/>
              </w:rPr>
              <w:tab/>
              <w:t>who had no franchise in national elections before the 1983 and 1993 constitutions;</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tab/>
              <w:t>(ii)</w:t>
            </w:r>
            <w:r w:rsidRPr="00CA056E">
              <w:rPr>
                <w:rFonts w:ascii="Arial" w:eastAsia="Calibri" w:hAnsi="Arial" w:cs="Arial"/>
                <w:lang w:eastAsia="en-US"/>
              </w:rPr>
              <w:tab/>
              <w:t>who is a female; and/or</w:t>
            </w:r>
          </w:p>
          <w:p w:rsidR="00CA056E" w:rsidRPr="00CA056E" w:rsidRDefault="00CA056E" w:rsidP="00CA056E">
            <w:pPr>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tab/>
              <w:t>(iii)</w:t>
            </w:r>
            <w:r w:rsidRPr="00CA056E">
              <w:rPr>
                <w:rFonts w:ascii="Arial" w:eastAsia="Calibri" w:hAnsi="Arial" w:cs="Arial"/>
                <w:lang w:eastAsia="en-US"/>
              </w:rPr>
              <w:tab/>
              <w:t>who has a disability; and</w:t>
            </w:r>
          </w:p>
          <w:p w:rsidR="00CA056E" w:rsidRPr="00CA056E" w:rsidRDefault="00CA056E" w:rsidP="00CA056E">
            <w:pPr>
              <w:jc w:val="both"/>
              <w:rPr>
                <w:rFonts w:ascii="Arial" w:eastAsia="Calibri" w:hAnsi="Arial" w:cs="Arial"/>
                <w:lang w:eastAsia="en-US"/>
              </w:rPr>
            </w:pP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t>(b)</w:t>
            </w:r>
            <w:r w:rsidRPr="00CA056E">
              <w:rPr>
                <w:rFonts w:ascii="Arial" w:eastAsia="Calibri" w:hAnsi="Arial" w:cs="Arial"/>
                <w:lang w:eastAsia="en-US"/>
              </w:rPr>
              <w:tab/>
              <w:t>Other specific goals (RDP goals):</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tab/>
              <w:t>(</w:t>
            </w:r>
            <w:proofErr w:type="spellStart"/>
            <w:r w:rsidRPr="00CA056E">
              <w:rPr>
                <w:rFonts w:ascii="Arial" w:eastAsia="Calibri" w:hAnsi="Arial" w:cs="Arial"/>
                <w:lang w:eastAsia="en-US"/>
              </w:rPr>
              <w:t>i</w:t>
            </w:r>
            <w:proofErr w:type="spellEnd"/>
            <w:r w:rsidRPr="00CA056E">
              <w:rPr>
                <w:rFonts w:ascii="Arial" w:eastAsia="Calibri" w:hAnsi="Arial" w:cs="Arial"/>
                <w:lang w:eastAsia="en-US"/>
              </w:rPr>
              <w:t>)</w:t>
            </w:r>
            <w:r w:rsidRPr="00CA056E">
              <w:rPr>
                <w:rFonts w:ascii="Arial" w:eastAsia="Calibri" w:hAnsi="Arial" w:cs="Arial"/>
                <w:lang w:eastAsia="en-US"/>
              </w:rPr>
              <w:tab/>
              <w:t>Promotion of SMMEs;</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tab/>
              <w:t>(ii)</w:t>
            </w:r>
            <w:r w:rsidRPr="00CA056E">
              <w:rPr>
                <w:rFonts w:ascii="Arial" w:eastAsia="Calibri" w:hAnsi="Arial" w:cs="Arial"/>
                <w:lang w:eastAsia="en-US"/>
              </w:rPr>
              <w:tab/>
              <w:t xml:space="preserve">Human resource development; </w:t>
            </w:r>
          </w:p>
          <w:p w:rsidR="00CA056E" w:rsidRPr="00CA056E" w:rsidRDefault="00CA056E" w:rsidP="00CA056E">
            <w:pPr>
              <w:spacing w:after="120"/>
              <w:ind w:left="2160" w:hanging="720"/>
              <w:jc w:val="both"/>
              <w:rPr>
                <w:rFonts w:ascii="Arial" w:eastAsia="Calibri" w:hAnsi="Arial" w:cs="Arial"/>
                <w:lang w:eastAsia="en-US"/>
              </w:rPr>
            </w:pPr>
            <w:r w:rsidRPr="00CA056E">
              <w:rPr>
                <w:rFonts w:ascii="Arial" w:eastAsia="Calibri" w:hAnsi="Arial" w:cs="Arial"/>
                <w:lang w:eastAsia="en-US"/>
              </w:rPr>
              <w:t>(iii)</w:t>
            </w:r>
            <w:r w:rsidRPr="00CA056E">
              <w:rPr>
                <w:rFonts w:ascii="Arial" w:eastAsia="Calibri" w:hAnsi="Arial" w:cs="Arial"/>
                <w:lang w:eastAsia="en-US"/>
              </w:rPr>
              <w:tab/>
            </w:r>
            <w:proofErr w:type="spellStart"/>
            <w:r w:rsidRPr="00CA056E">
              <w:rPr>
                <w:rFonts w:ascii="Arial" w:eastAsia="Calibri" w:hAnsi="Arial" w:cs="Arial"/>
                <w:lang w:eastAsia="en-US"/>
              </w:rPr>
              <w:t>Upliftment</w:t>
            </w:r>
            <w:proofErr w:type="spellEnd"/>
            <w:r w:rsidRPr="00CA056E">
              <w:rPr>
                <w:rFonts w:ascii="Arial" w:eastAsia="Calibri" w:hAnsi="Arial" w:cs="Arial"/>
                <w:lang w:eastAsia="en-US"/>
              </w:rPr>
              <w:t xml:space="preserve"> of communities; and</w:t>
            </w:r>
          </w:p>
          <w:p w:rsidR="00CA056E" w:rsidRPr="00CA056E" w:rsidRDefault="00CA056E" w:rsidP="00CA056E">
            <w:pPr>
              <w:spacing w:after="240"/>
              <w:ind w:left="2160" w:hanging="720"/>
              <w:jc w:val="both"/>
              <w:rPr>
                <w:rFonts w:ascii="Arial" w:eastAsia="Calibri" w:hAnsi="Arial" w:cs="Arial"/>
                <w:lang w:eastAsia="en-US"/>
              </w:rPr>
            </w:pPr>
            <w:r w:rsidRPr="00CA056E">
              <w:rPr>
                <w:rFonts w:ascii="Arial" w:eastAsia="Calibri" w:hAnsi="Arial" w:cs="Arial"/>
                <w:lang w:eastAsia="en-US"/>
              </w:rPr>
              <w:t>(iv)</w:t>
            </w:r>
            <w:r w:rsidRPr="00CA056E">
              <w:rPr>
                <w:rFonts w:ascii="Arial" w:eastAsia="Calibri" w:hAnsi="Arial" w:cs="Arial"/>
                <w:lang w:eastAsia="en-US"/>
              </w:rPr>
              <w:tab/>
              <w:t>Enterprises located within Prince Albert municipal area.</w:t>
            </w:r>
          </w:p>
          <w:p w:rsidR="00CA056E" w:rsidRPr="00861F87" w:rsidRDefault="00CA056E" w:rsidP="00C4736A">
            <w:pPr>
              <w:tabs>
                <w:tab w:val="left" w:pos="1134"/>
              </w:tabs>
              <w:spacing w:after="120" w:line="24" w:lineRule="atLeast"/>
              <w:jc w:val="both"/>
              <w:rPr>
                <w:rFonts w:ascii="Arial" w:hAnsi="Arial" w:cs="Arial"/>
                <w:dstrike/>
              </w:rPr>
            </w:pPr>
          </w:p>
        </w:tc>
        <w:tc>
          <w:tcPr>
            <w:tcW w:w="4762" w:type="dxa"/>
            <w:tcBorders>
              <w:top w:val="nil"/>
              <w:bottom w:val="nil"/>
            </w:tcBorders>
          </w:tcPr>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1.4</w:t>
            </w:r>
            <w:r w:rsidRPr="00CA056E">
              <w:rPr>
                <w:rFonts w:ascii="Arial" w:eastAsia="Calibri" w:hAnsi="Arial" w:cs="Arial"/>
                <w:lang w:eastAsia="en-US"/>
              </w:rPr>
              <w:tab/>
              <w:t>Preference points fo</w:t>
            </w:r>
            <w:r>
              <w:rPr>
                <w:rFonts w:ascii="Arial" w:eastAsia="Calibri" w:hAnsi="Arial" w:cs="Arial"/>
                <w:lang w:eastAsia="en-US"/>
              </w:rPr>
              <w:t xml:space="preserve">r any bid or quotation above R </w:t>
            </w:r>
            <w:r w:rsidRPr="00CA056E">
              <w:rPr>
                <w:rFonts w:ascii="Arial" w:eastAsia="Calibri" w:hAnsi="Arial" w:cs="Arial"/>
                <w:i/>
                <w:lang w:eastAsia="en-US"/>
              </w:rPr>
              <w:t>30 000</w:t>
            </w:r>
            <w:r w:rsidRPr="00CA056E">
              <w:rPr>
                <w:rFonts w:ascii="Arial" w:eastAsia="Calibri" w:hAnsi="Arial" w:cs="Arial"/>
                <w:lang w:eastAsia="en-US"/>
              </w:rPr>
              <w:t xml:space="preserve"> shall be awarded for:</w:t>
            </w:r>
          </w:p>
          <w:p w:rsid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t>(a)</w:t>
            </w:r>
            <w:r w:rsidRPr="00CA056E">
              <w:rPr>
                <w:rFonts w:ascii="Arial" w:eastAsia="Calibri" w:hAnsi="Arial" w:cs="Arial"/>
                <w:lang w:eastAsia="en-US"/>
              </w:rPr>
              <w:tab/>
              <w:t xml:space="preserve">Price; </w:t>
            </w:r>
          </w:p>
          <w:p w:rsidR="00BE6C60" w:rsidRPr="00BE6C60" w:rsidRDefault="00BE6C60" w:rsidP="00BE6C60">
            <w:pPr>
              <w:spacing w:after="120"/>
              <w:jc w:val="both"/>
              <w:rPr>
                <w:rFonts w:ascii="Arial" w:eastAsia="Calibri" w:hAnsi="Arial" w:cs="Arial"/>
                <w:i/>
                <w:lang w:eastAsia="en-US"/>
              </w:rPr>
            </w:pPr>
            <w:r>
              <w:rPr>
                <w:rFonts w:ascii="Arial" w:eastAsia="Calibri" w:hAnsi="Arial" w:cs="Arial"/>
                <w:lang w:eastAsia="en-US"/>
              </w:rPr>
              <w:tab/>
            </w:r>
            <w:r w:rsidRPr="00BE6C60">
              <w:rPr>
                <w:rFonts w:ascii="Arial" w:eastAsia="Calibri" w:hAnsi="Arial" w:cs="Arial"/>
                <w:i/>
                <w:lang w:eastAsia="en-US"/>
              </w:rPr>
              <w:t>(b</w:t>
            </w:r>
            <w:r w:rsidRPr="00CA056E">
              <w:rPr>
                <w:rFonts w:ascii="Arial" w:eastAsia="Calibri" w:hAnsi="Arial" w:cs="Arial"/>
                <w:i/>
                <w:lang w:eastAsia="en-US"/>
              </w:rPr>
              <w:t>)</w:t>
            </w:r>
            <w:r w:rsidRPr="00CA056E">
              <w:rPr>
                <w:rFonts w:ascii="Arial" w:eastAsia="Calibri" w:hAnsi="Arial" w:cs="Arial"/>
                <w:i/>
                <w:lang w:eastAsia="en-US"/>
              </w:rPr>
              <w:tab/>
            </w:r>
            <w:r>
              <w:rPr>
                <w:rFonts w:ascii="Arial" w:eastAsia="Calibri" w:hAnsi="Arial" w:cs="Arial"/>
                <w:i/>
                <w:lang w:eastAsia="en-US"/>
              </w:rPr>
              <w:t>Bee</w:t>
            </w:r>
            <w:r w:rsidRPr="00CA056E">
              <w:rPr>
                <w:rFonts w:ascii="Arial" w:eastAsia="Calibri" w:hAnsi="Arial" w:cs="Arial"/>
                <w:i/>
                <w:lang w:eastAsia="en-US"/>
              </w:rPr>
              <w:t xml:space="preserve">; </w:t>
            </w:r>
          </w:p>
          <w:p w:rsidR="00BE6C60" w:rsidRDefault="00BE6C60" w:rsidP="00BE6C60">
            <w:pPr>
              <w:spacing w:after="120"/>
              <w:jc w:val="both"/>
              <w:rPr>
                <w:rFonts w:ascii="Arial" w:eastAsia="Calibri" w:hAnsi="Arial" w:cs="Arial"/>
                <w:lang w:eastAsia="en-US"/>
              </w:rPr>
            </w:pPr>
            <w:r>
              <w:rPr>
                <w:rFonts w:ascii="Arial" w:eastAsia="Calibri" w:hAnsi="Arial" w:cs="Arial"/>
                <w:lang w:eastAsia="en-US"/>
              </w:rPr>
              <w:tab/>
            </w:r>
            <w:r w:rsidRPr="00BE6C60">
              <w:rPr>
                <w:rFonts w:ascii="Arial" w:eastAsia="Calibri" w:hAnsi="Arial" w:cs="Arial"/>
                <w:i/>
                <w:lang w:eastAsia="en-US"/>
              </w:rPr>
              <w:t>(c</w:t>
            </w:r>
            <w:r>
              <w:rPr>
                <w:rFonts w:ascii="Arial" w:eastAsia="Calibri" w:hAnsi="Arial" w:cs="Arial"/>
                <w:i/>
                <w:lang w:eastAsia="en-US"/>
              </w:rPr>
              <w:t>)</w:t>
            </w:r>
            <w:r>
              <w:rPr>
                <w:rFonts w:ascii="Arial" w:eastAsia="Calibri" w:hAnsi="Arial" w:cs="Arial"/>
                <w:i/>
                <w:lang w:eastAsia="en-US"/>
              </w:rPr>
              <w:tab/>
              <w:t>Functionality for awards over R200,000 or contract longer than year</w:t>
            </w:r>
            <w:r w:rsidRPr="00CA056E">
              <w:rPr>
                <w:rFonts w:ascii="Arial" w:eastAsia="Calibri" w:hAnsi="Arial" w:cs="Arial"/>
                <w:lang w:eastAsia="en-US"/>
              </w:rPr>
              <w:t xml:space="preserve">; </w:t>
            </w:r>
          </w:p>
          <w:p w:rsidR="00CA056E" w:rsidRPr="00CA056E" w:rsidRDefault="00BE6C60" w:rsidP="00BE6C60">
            <w:pPr>
              <w:spacing w:after="120"/>
              <w:jc w:val="both"/>
              <w:rPr>
                <w:rFonts w:ascii="Arial" w:eastAsia="Calibri" w:hAnsi="Arial" w:cs="Arial"/>
                <w:i/>
                <w:lang w:eastAsia="en-US"/>
              </w:rPr>
            </w:pPr>
            <w:r>
              <w:rPr>
                <w:rFonts w:ascii="Arial" w:eastAsia="Calibri" w:hAnsi="Arial" w:cs="Arial"/>
                <w:lang w:eastAsia="en-US"/>
              </w:rPr>
              <w:t xml:space="preserve">              </w:t>
            </w:r>
            <w:r w:rsidRPr="00BE6C60">
              <w:rPr>
                <w:rFonts w:ascii="Arial" w:eastAsia="Calibri" w:hAnsi="Arial" w:cs="Arial"/>
                <w:i/>
                <w:lang w:eastAsia="en-US"/>
              </w:rPr>
              <w:t>(d</w:t>
            </w:r>
            <w:r w:rsidR="00CA056E" w:rsidRPr="00CA056E">
              <w:rPr>
                <w:rFonts w:ascii="Arial" w:eastAsia="Calibri" w:hAnsi="Arial" w:cs="Arial"/>
                <w:i/>
                <w:lang w:eastAsia="en-US"/>
              </w:rPr>
              <w:t>)</w:t>
            </w:r>
            <w:r w:rsidR="00CA056E" w:rsidRPr="00CA056E">
              <w:rPr>
                <w:rFonts w:ascii="Arial" w:eastAsia="Calibri" w:hAnsi="Arial" w:cs="Arial"/>
                <w:lang w:eastAsia="en-US"/>
              </w:rPr>
              <w:tab/>
              <w:t>Specific contract participation goals</w:t>
            </w:r>
            <w:r>
              <w:rPr>
                <w:rFonts w:ascii="Arial" w:eastAsia="Calibri" w:hAnsi="Arial" w:cs="Arial"/>
                <w:lang w:eastAsia="en-US"/>
              </w:rPr>
              <w:t xml:space="preserve">, </w:t>
            </w:r>
            <w:r>
              <w:rPr>
                <w:rFonts w:ascii="Arial" w:eastAsia="Calibri" w:hAnsi="Arial" w:cs="Arial"/>
                <w:i/>
                <w:lang w:eastAsia="en-US"/>
              </w:rPr>
              <w:t>if deemed appropriate by the bid specification committee</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1.5</w:t>
            </w:r>
            <w:r w:rsidRPr="00CA056E">
              <w:rPr>
                <w:rFonts w:ascii="Arial" w:eastAsia="Calibri" w:hAnsi="Arial" w:cs="Arial"/>
                <w:lang w:eastAsia="en-US"/>
              </w:rPr>
              <w:tab/>
              <w:t>Regarding specific contract participation goals, points are awarded for:</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t>(a)</w:t>
            </w:r>
            <w:r w:rsidRPr="00CA056E">
              <w:rPr>
                <w:rFonts w:ascii="Arial" w:eastAsia="Calibri" w:hAnsi="Arial" w:cs="Arial"/>
                <w:lang w:eastAsia="en-US"/>
              </w:rPr>
              <w:tab/>
              <w:t>Historically Disadvantaged Individuals (HDI’s):</w:t>
            </w:r>
          </w:p>
          <w:p w:rsidR="00CA056E" w:rsidRPr="00CA056E" w:rsidRDefault="00CA056E" w:rsidP="00CA056E">
            <w:pPr>
              <w:spacing w:after="120"/>
              <w:ind w:left="2160" w:hanging="720"/>
              <w:jc w:val="both"/>
              <w:rPr>
                <w:rFonts w:ascii="Arial" w:eastAsia="Calibri" w:hAnsi="Arial" w:cs="Arial"/>
                <w:lang w:eastAsia="en-US"/>
              </w:rPr>
            </w:pPr>
            <w:r w:rsidRPr="00CA056E">
              <w:rPr>
                <w:rFonts w:ascii="Arial" w:eastAsia="Calibri" w:hAnsi="Arial" w:cs="Arial"/>
                <w:lang w:eastAsia="en-US"/>
              </w:rPr>
              <w:t>(</w:t>
            </w:r>
            <w:proofErr w:type="spellStart"/>
            <w:r w:rsidRPr="00CA056E">
              <w:rPr>
                <w:rFonts w:ascii="Arial" w:eastAsia="Calibri" w:hAnsi="Arial" w:cs="Arial"/>
                <w:lang w:eastAsia="en-US"/>
              </w:rPr>
              <w:t>i</w:t>
            </w:r>
            <w:proofErr w:type="spellEnd"/>
            <w:r w:rsidRPr="00CA056E">
              <w:rPr>
                <w:rFonts w:ascii="Arial" w:eastAsia="Calibri" w:hAnsi="Arial" w:cs="Arial"/>
                <w:lang w:eastAsia="en-US"/>
              </w:rPr>
              <w:t>)</w:t>
            </w:r>
            <w:r w:rsidRPr="00CA056E">
              <w:rPr>
                <w:rFonts w:ascii="Arial" w:eastAsia="Calibri" w:hAnsi="Arial" w:cs="Arial"/>
                <w:lang w:eastAsia="en-US"/>
              </w:rPr>
              <w:tab/>
              <w:t>who had no franchise in national elections before the 1983 and 1993 constitutions;</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tab/>
              <w:t>(ii)</w:t>
            </w:r>
            <w:r w:rsidRPr="00CA056E">
              <w:rPr>
                <w:rFonts w:ascii="Arial" w:eastAsia="Calibri" w:hAnsi="Arial" w:cs="Arial"/>
                <w:lang w:eastAsia="en-US"/>
              </w:rPr>
              <w:tab/>
              <w:t>who is a female; and/or</w:t>
            </w:r>
          </w:p>
          <w:p w:rsidR="00CA056E" w:rsidRPr="00CA056E" w:rsidRDefault="00CA056E" w:rsidP="00CA056E">
            <w:pPr>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tab/>
              <w:t>(iii)</w:t>
            </w:r>
            <w:r w:rsidRPr="00CA056E">
              <w:rPr>
                <w:rFonts w:ascii="Arial" w:eastAsia="Calibri" w:hAnsi="Arial" w:cs="Arial"/>
                <w:lang w:eastAsia="en-US"/>
              </w:rPr>
              <w:tab/>
              <w:t>who has a disability; and</w:t>
            </w:r>
          </w:p>
          <w:p w:rsidR="00CA056E" w:rsidRPr="00CA056E" w:rsidRDefault="00CA056E" w:rsidP="00CA056E">
            <w:pPr>
              <w:jc w:val="both"/>
              <w:rPr>
                <w:rFonts w:ascii="Arial" w:eastAsia="Calibri" w:hAnsi="Arial" w:cs="Arial"/>
                <w:lang w:eastAsia="en-US"/>
              </w:rPr>
            </w:pP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t>(b)</w:t>
            </w:r>
            <w:r w:rsidRPr="00CA056E">
              <w:rPr>
                <w:rFonts w:ascii="Arial" w:eastAsia="Calibri" w:hAnsi="Arial" w:cs="Arial"/>
                <w:lang w:eastAsia="en-US"/>
              </w:rPr>
              <w:tab/>
              <w:t>Other specific goals (RDP goals):</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tab/>
              <w:t>(</w:t>
            </w:r>
            <w:proofErr w:type="spellStart"/>
            <w:r w:rsidRPr="00CA056E">
              <w:rPr>
                <w:rFonts w:ascii="Arial" w:eastAsia="Calibri" w:hAnsi="Arial" w:cs="Arial"/>
                <w:lang w:eastAsia="en-US"/>
              </w:rPr>
              <w:t>i</w:t>
            </w:r>
            <w:proofErr w:type="spellEnd"/>
            <w:r w:rsidRPr="00CA056E">
              <w:rPr>
                <w:rFonts w:ascii="Arial" w:eastAsia="Calibri" w:hAnsi="Arial" w:cs="Arial"/>
                <w:lang w:eastAsia="en-US"/>
              </w:rPr>
              <w:t>)</w:t>
            </w:r>
            <w:r w:rsidRPr="00CA056E">
              <w:rPr>
                <w:rFonts w:ascii="Arial" w:eastAsia="Calibri" w:hAnsi="Arial" w:cs="Arial"/>
                <w:lang w:eastAsia="en-US"/>
              </w:rPr>
              <w:tab/>
              <w:t>Promotion of SMMEs;</w:t>
            </w:r>
          </w:p>
          <w:p w:rsidR="00CA056E" w:rsidRPr="00CA056E" w:rsidRDefault="00CA056E" w:rsidP="00CA056E">
            <w:pPr>
              <w:spacing w:after="120"/>
              <w:jc w:val="both"/>
              <w:rPr>
                <w:rFonts w:ascii="Arial" w:eastAsia="Calibri" w:hAnsi="Arial" w:cs="Arial"/>
                <w:lang w:eastAsia="en-US"/>
              </w:rPr>
            </w:pPr>
            <w:r w:rsidRPr="00CA056E">
              <w:rPr>
                <w:rFonts w:ascii="Arial" w:eastAsia="Calibri" w:hAnsi="Arial" w:cs="Arial"/>
                <w:lang w:eastAsia="en-US"/>
              </w:rPr>
              <w:tab/>
            </w:r>
            <w:r w:rsidRPr="00CA056E">
              <w:rPr>
                <w:rFonts w:ascii="Arial" w:eastAsia="Calibri" w:hAnsi="Arial" w:cs="Arial"/>
                <w:lang w:eastAsia="en-US"/>
              </w:rPr>
              <w:tab/>
              <w:t>(ii)</w:t>
            </w:r>
            <w:r w:rsidRPr="00CA056E">
              <w:rPr>
                <w:rFonts w:ascii="Arial" w:eastAsia="Calibri" w:hAnsi="Arial" w:cs="Arial"/>
                <w:lang w:eastAsia="en-US"/>
              </w:rPr>
              <w:tab/>
              <w:t xml:space="preserve">Human resource development; </w:t>
            </w:r>
          </w:p>
          <w:p w:rsidR="00CA056E" w:rsidRPr="00CA056E" w:rsidRDefault="00CA056E" w:rsidP="00CA056E">
            <w:pPr>
              <w:spacing w:after="120"/>
              <w:ind w:left="2160" w:hanging="720"/>
              <w:jc w:val="both"/>
              <w:rPr>
                <w:rFonts w:ascii="Arial" w:eastAsia="Calibri" w:hAnsi="Arial" w:cs="Arial"/>
                <w:lang w:eastAsia="en-US"/>
              </w:rPr>
            </w:pPr>
            <w:r w:rsidRPr="00CA056E">
              <w:rPr>
                <w:rFonts w:ascii="Arial" w:eastAsia="Calibri" w:hAnsi="Arial" w:cs="Arial"/>
                <w:lang w:eastAsia="en-US"/>
              </w:rPr>
              <w:t>(iii)</w:t>
            </w:r>
            <w:r w:rsidRPr="00CA056E">
              <w:rPr>
                <w:rFonts w:ascii="Arial" w:eastAsia="Calibri" w:hAnsi="Arial" w:cs="Arial"/>
                <w:lang w:eastAsia="en-US"/>
              </w:rPr>
              <w:tab/>
            </w:r>
            <w:proofErr w:type="spellStart"/>
            <w:r w:rsidRPr="00CA056E">
              <w:rPr>
                <w:rFonts w:ascii="Arial" w:eastAsia="Calibri" w:hAnsi="Arial" w:cs="Arial"/>
                <w:lang w:eastAsia="en-US"/>
              </w:rPr>
              <w:t>Upliftment</w:t>
            </w:r>
            <w:proofErr w:type="spellEnd"/>
            <w:r w:rsidRPr="00CA056E">
              <w:rPr>
                <w:rFonts w:ascii="Arial" w:eastAsia="Calibri" w:hAnsi="Arial" w:cs="Arial"/>
                <w:lang w:eastAsia="en-US"/>
              </w:rPr>
              <w:t xml:space="preserve"> of communities; and</w:t>
            </w:r>
          </w:p>
          <w:p w:rsidR="00CA056E" w:rsidRPr="00CA056E" w:rsidRDefault="00CA056E" w:rsidP="00CA056E">
            <w:pPr>
              <w:spacing w:after="240"/>
              <w:ind w:left="2160" w:hanging="720"/>
              <w:jc w:val="both"/>
              <w:rPr>
                <w:rFonts w:ascii="Arial" w:eastAsia="Calibri" w:hAnsi="Arial" w:cs="Arial"/>
                <w:lang w:eastAsia="en-US"/>
              </w:rPr>
            </w:pPr>
            <w:r w:rsidRPr="00CA056E">
              <w:rPr>
                <w:rFonts w:ascii="Arial" w:eastAsia="Calibri" w:hAnsi="Arial" w:cs="Arial"/>
                <w:lang w:eastAsia="en-US"/>
              </w:rPr>
              <w:t>(iv)</w:t>
            </w:r>
            <w:r w:rsidRPr="00CA056E">
              <w:rPr>
                <w:rFonts w:ascii="Arial" w:eastAsia="Calibri" w:hAnsi="Arial" w:cs="Arial"/>
                <w:lang w:eastAsia="en-US"/>
              </w:rPr>
              <w:tab/>
              <w:t>Enterprises located within Prince Albert municipal area.</w:t>
            </w:r>
          </w:p>
          <w:p w:rsidR="00CA056E" w:rsidRPr="00B41218" w:rsidRDefault="00CA056E" w:rsidP="00C4736A">
            <w:pPr>
              <w:tabs>
                <w:tab w:val="left" w:pos="426"/>
              </w:tabs>
              <w:spacing w:line="24" w:lineRule="atLeast"/>
              <w:rPr>
                <w:rFonts w:ascii="Arial" w:hAnsi="Arial" w:cs="Arial"/>
              </w:rPr>
            </w:pPr>
          </w:p>
        </w:tc>
      </w:tr>
      <w:tr w:rsidR="00CA056E" w:rsidTr="00CA056E">
        <w:tc>
          <w:tcPr>
            <w:tcW w:w="4786" w:type="dxa"/>
            <w:tcBorders>
              <w:top w:val="nil"/>
              <w:bottom w:val="nil"/>
            </w:tcBorders>
          </w:tcPr>
          <w:p w:rsidR="00BE6C60" w:rsidRPr="00AE0955" w:rsidRDefault="00BE6C60" w:rsidP="00BE6C60">
            <w:pPr>
              <w:spacing w:after="120"/>
              <w:ind w:left="34"/>
              <w:jc w:val="both"/>
              <w:rPr>
                <w:rFonts w:ascii="Arial" w:hAnsi="Arial" w:cs="Arial"/>
                <w:b/>
                <w:bCs/>
                <w:sz w:val="24"/>
                <w:szCs w:val="24"/>
              </w:rPr>
            </w:pPr>
            <w:r w:rsidRPr="00AE0955">
              <w:rPr>
                <w:rFonts w:ascii="Arial" w:hAnsi="Arial" w:cs="Arial"/>
                <w:b/>
                <w:bCs/>
                <w:sz w:val="24"/>
                <w:szCs w:val="24"/>
              </w:rPr>
              <w:t>2.</w:t>
            </w:r>
            <w:r w:rsidRPr="00AE0955">
              <w:rPr>
                <w:rFonts w:ascii="Arial" w:hAnsi="Arial" w:cs="Arial"/>
                <w:b/>
                <w:bCs/>
                <w:sz w:val="24"/>
                <w:szCs w:val="24"/>
              </w:rPr>
              <w:tab/>
              <w:t>Allocation of points</w:t>
            </w:r>
          </w:p>
          <w:p w:rsidR="00BE6C60" w:rsidRPr="00AE0955" w:rsidRDefault="00BE6C60" w:rsidP="00BE6C60">
            <w:pPr>
              <w:spacing w:after="240"/>
              <w:ind w:left="720" w:hanging="686"/>
              <w:jc w:val="both"/>
              <w:rPr>
                <w:rFonts w:ascii="Arial" w:hAnsi="Arial" w:cs="Arial"/>
                <w:bCs/>
                <w:sz w:val="24"/>
                <w:szCs w:val="24"/>
              </w:rPr>
            </w:pPr>
            <w:r w:rsidRPr="00AE0955">
              <w:rPr>
                <w:rFonts w:ascii="Arial" w:hAnsi="Arial" w:cs="Arial"/>
                <w:bCs/>
                <w:sz w:val="24"/>
                <w:szCs w:val="24"/>
              </w:rPr>
              <w:tab/>
              <w:t>Subject to a good rating by Council, points will be allocated for the following criteria to the maxima as indicated:</w:t>
            </w:r>
          </w:p>
          <w:tbl>
            <w:tblPr>
              <w:tblW w:w="915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
              <w:gridCol w:w="4821"/>
              <w:gridCol w:w="1989"/>
              <w:gridCol w:w="1829"/>
              <w:gridCol w:w="236"/>
            </w:tblGrid>
            <w:tr w:rsidR="00BE6C60" w:rsidRPr="00AE560F" w:rsidTr="00C4736A">
              <w:trPr>
                <w:trHeight w:val="1167"/>
              </w:trPr>
              <w:tc>
                <w:tcPr>
                  <w:tcW w:w="5098" w:type="dxa"/>
                  <w:gridSpan w:val="2"/>
                  <w:tcBorders>
                    <w:top w:val="single" w:sz="12" w:space="0" w:color="auto"/>
                    <w:left w:val="single" w:sz="12" w:space="0" w:color="auto"/>
                  </w:tcBorders>
                  <w:vAlign w:val="center"/>
                </w:tcPr>
                <w:p w:rsidR="00BE6C60" w:rsidRPr="005E3E92" w:rsidRDefault="00BE6C60" w:rsidP="00C4736A">
                  <w:pPr>
                    <w:spacing w:before="120" w:after="0"/>
                    <w:jc w:val="center"/>
                    <w:rPr>
                      <w:rFonts w:ascii="Arial" w:eastAsia="Times New Roman" w:hAnsi="Arial" w:cs="Arial"/>
                      <w:b/>
                      <w:bCs/>
                      <w:szCs w:val="24"/>
                    </w:rPr>
                  </w:pPr>
                  <w:r w:rsidRPr="005E3E92">
                    <w:rPr>
                      <w:rFonts w:ascii="Arial" w:eastAsia="Times New Roman" w:hAnsi="Arial" w:cs="Arial"/>
                      <w:b/>
                      <w:bCs/>
                      <w:szCs w:val="24"/>
                    </w:rPr>
                    <w:t>CRITERIA</w:t>
                  </w:r>
                </w:p>
              </w:tc>
              <w:tc>
                <w:tcPr>
                  <w:tcW w:w="1989" w:type="dxa"/>
                  <w:tcBorders>
                    <w:top w:val="single" w:sz="12" w:space="0" w:color="auto"/>
                  </w:tcBorders>
                  <w:vAlign w:val="center"/>
                </w:tcPr>
                <w:p w:rsidR="00BE6C60" w:rsidRPr="005E3E92" w:rsidRDefault="00BE6C60" w:rsidP="00C4736A">
                  <w:pPr>
                    <w:spacing w:before="120" w:after="0"/>
                    <w:jc w:val="center"/>
                    <w:rPr>
                      <w:rFonts w:ascii="Arial" w:eastAsia="Times New Roman" w:hAnsi="Arial" w:cs="Arial"/>
                      <w:b/>
                      <w:bCs/>
                      <w:szCs w:val="24"/>
                    </w:rPr>
                  </w:pPr>
                  <w:r w:rsidRPr="005E3E92">
                    <w:rPr>
                      <w:rFonts w:ascii="Arial" w:eastAsia="Times New Roman" w:hAnsi="Arial" w:cs="Arial"/>
                      <w:b/>
                      <w:bCs/>
                      <w:szCs w:val="24"/>
                    </w:rPr>
                    <w:t xml:space="preserve">POINTS FOR PROJECTS </w:t>
                  </w:r>
                </w:p>
                <w:p w:rsidR="00BE6C60" w:rsidRPr="005E3E92" w:rsidRDefault="00BE6C60" w:rsidP="00C4736A">
                  <w:pPr>
                    <w:spacing w:after="0"/>
                    <w:jc w:val="center"/>
                    <w:rPr>
                      <w:rFonts w:ascii="Arial" w:eastAsia="Times New Roman" w:hAnsi="Arial" w:cs="Arial"/>
                      <w:b/>
                      <w:bCs/>
                      <w:szCs w:val="24"/>
                    </w:rPr>
                  </w:pPr>
                  <w:r w:rsidRPr="005E3E92">
                    <w:rPr>
                      <w:rFonts w:ascii="Arial" w:eastAsia="Times New Roman" w:hAnsi="Arial" w:cs="Arial"/>
                      <w:b/>
                      <w:bCs/>
                      <w:szCs w:val="24"/>
                    </w:rPr>
                    <w:t xml:space="preserve">UP TO </w:t>
                  </w:r>
                </w:p>
                <w:p w:rsidR="00BE6C60" w:rsidRPr="005E3E92" w:rsidRDefault="00BE6C60" w:rsidP="00C4736A">
                  <w:pPr>
                    <w:spacing w:after="0"/>
                    <w:jc w:val="center"/>
                    <w:rPr>
                      <w:rFonts w:ascii="Arial" w:eastAsia="Times New Roman" w:hAnsi="Arial" w:cs="Arial"/>
                      <w:b/>
                      <w:bCs/>
                      <w:szCs w:val="24"/>
                    </w:rPr>
                  </w:pPr>
                  <w:r w:rsidRPr="005E3E92">
                    <w:rPr>
                      <w:rFonts w:ascii="Arial" w:eastAsia="Times New Roman" w:hAnsi="Arial" w:cs="Arial"/>
                      <w:b/>
                      <w:bCs/>
                      <w:szCs w:val="24"/>
                    </w:rPr>
                    <w:t>R 500 000</w:t>
                  </w:r>
                </w:p>
              </w:tc>
              <w:tc>
                <w:tcPr>
                  <w:tcW w:w="1829" w:type="dxa"/>
                  <w:tcBorders>
                    <w:top w:val="single" w:sz="12" w:space="0" w:color="auto"/>
                    <w:right w:val="nil"/>
                  </w:tcBorders>
                  <w:vAlign w:val="center"/>
                </w:tcPr>
                <w:p w:rsidR="00BE6C60" w:rsidRPr="005E3E92" w:rsidRDefault="00BE6C60" w:rsidP="00C4736A">
                  <w:pPr>
                    <w:spacing w:before="120" w:after="0"/>
                    <w:jc w:val="center"/>
                    <w:rPr>
                      <w:rFonts w:ascii="Arial" w:eastAsia="Times New Roman" w:hAnsi="Arial" w:cs="Arial"/>
                      <w:b/>
                      <w:bCs/>
                      <w:szCs w:val="24"/>
                    </w:rPr>
                  </w:pPr>
                  <w:r w:rsidRPr="005E3E92">
                    <w:rPr>
                      <w:rFonts w:ascii="Arial" w:eastAsia="Times New Roman" w:hAnsi="Arial" w:cs="Arial"/>
                      <w:b/>
                      <w:bCs/>
                      <w:szCs w:val="24"/>
                    </w:rPr>
                    <w:t>POINTS FOR PROJECTS OVER</w:t>
                  </w:r>
                </w:p>
                <w:p w:rsidR="00BE6C60" w:rsidRPr="005E3E92" w:rsidRDefault="00BE6C60" w:rsidP="00C4736A">
                  <w:pPr>
                    <w:spacing w:after="0"/>
                    <w:jc w:val="center"/>
                    <w:rPr>
                      <w:rFonts w:ascii="Arial" w:eastAsia="Times New Roman" w:hAnsi="Arial" w:cs="Arial"/>
                      <w:b/>
                      <w:bCs/>
                      <w:szCs w:val="24"/>
                    </w:rPr>
                  </w:pPr>
                  <w:r w:rsidRPr="005E3E92">
                    <w:rPr>
                      <w:rFonts w:ascii="Arial" w:eastAsia="Times New Roman" w:hAnsi="Arial" w:cs="Arial"/>
                      <w:b/>
                      <w:bCs/>
                      <w:szCs w:val="24"/>
                    </w:rPr>
                    <w:t>R 500 000</w:t>
                  </w:r>
                </w:p>
              </w:tc>
              <w:tc>
                <w:tcPr>
                  <w:tcW w:w="236" w:type="dxa"/>
                  <w:tcBorders>
                    <w:top w:val="single" w:sz="12" w:space="0" w:color="auto"/>
                    <w:left w:val="nil"/>
                    <w:right w:val="single" w:sz="12" w:space="0" w:color="auto"/>
                  </w:tcBorders>
                  <w:vAlign w:val="center"/>
                </w:tcPr>
                <w:p w:rsidR="00BE6C60" w:rsidRPr="00AE560F" w:rsidRDefault="00BE6C60" w:rsidP="00C4736A">
                  <w:pPr>
                    <w:spacing w:before="120" w:after="0"/>
                    <w:jc w:val="center"/>
                    <w:rPr>
                      <w:rFonts w:ascii="Arial" w:eastAsia="Times New Roman" w:hAnsi="Arial" w:cs="Arial"/>
                      <w:bCs/>
                      <w:sz w:val="24"/>
                      <w:szCs w:val="24"/>
                    </w:rPr>
                  </w:pPr>
                </w:p>
              </w:tc>
            </w:tr>
            <w:tr w:rsidR="00BE6C60" w:rsidRPr="00AE560F" w:rsidTr="00C4736A">
              <w:tc>
                <w:tcPr>
                  <w:tcW w:w="5098" w:type="dxa"/>
                  <w:gridSpan w:val="2"/>
                  <w:tcBorders>
                    <w:left w:val="single" w:sz="12" w:space="0" w:color="auto"/>
                  </w:tcBorders>
                  <w:vAlign w:val="center"/>
                </w:tcPr>
                <w:p w:rsidR="00BE6C60" w:rsidRPr="00AE560F" w:rsidRDefault="00BE6C60" w:rsidP="00C4736A">
                  <w:pPr>
                    <w:spacing w:before="120" w:after="0"/>
                    <w:rPr>
                      <w:rFonts w:ascii="Arial" w:eastAsia="Times New Roman" w:hAnsi="Arial" w:cs="Arial"/>
                      <w:b/>
                      <w:sz w:val="24"/>
                      <w:szCs w:val="24"/>
                    </w:rPr>
                  </w:pPr>
                  <w:r w:rsidRPr="00AE560F">
                    <w:rPr>
                      <w:rFonts w:ascii="Arial" w:eastAsia="Times New Roman" w:hAnsi="Arial" w:cs="Arial"/>
                      <w:b/>
                      <w:sz w:val="24"/>
                      <w:szCs w:val="24"/>
                    </w:rPr>
                    <w:t>PRICE</w:t>
                  </w:r>
                </w:p>
                <w:p w:rsidR="00BE6C60" w:rsidRPr="00AE560F" w:rsidRDefault="00BE6C60" w:rsidP="00C4736A">
                  <w:pPr>
                    <w:spacing w:after="0"/>
                    <w:rPr>
                      <w:rFonts w:ascii="Arial" w:eastAsia="Times New Roman" w:hAnsi="Arial" w:cs="Arial"/>
                      <w:bCs/>
                      <w:sz w:val="24"/>
                      <w:szCs w:val="24"/>
                    </w:rPr>
                  </w:pPr>
                  <w:r w:rsidRPr="00AE560F">
                    <w:rPr>
                      <w:rFonts w:ascii="Arial" w:eastAsia="Times New Roman" w:hAnsi="Arial" w:cs="Arial"/>
                      <w:sz w:val="24"/>
                      <w:szCs w:val="24"/>
                    </w:rPr>
                    <w:lastRenderedPageBreak/>
                    <w:t xml:space="preserve"> </w:t>
                  </w:r>
                  <w:r w:rsidRPr="00AE560F">
                    <w:rPr>
                      <w:rFonts w:ascii="Arial" w:eastAsia="Times New Roman" w:hAnsi="Arial" w:cs="Arial"/>
                      <w:szCs w:val="24"/>
                    </w:rPr>
                    <w:t>(Value for money substantially to specification)</w:t>
                  </w:r>
                </w:p>
              </w:tc>
              <w:tc>
                <w:tcPr>
                  <w:tcW w:w="1989" w:type="dxa"/>
                  <w:vAlign w:val="center"/>
                </w:tcPr>
                <w:p w:rsidR="00BE6C60" w:rsidRPr="00AE560F" w:rsidRDefault="00BE6C60" w:rsidP="00C4736A">
                  <w:pPr>
                    <w:spacing w:before="120" w:after="0"/>
                    <w:jc w:val="center"/>
                    <w:rPr>
                      <w:rFonts w:ascii="Arial" w:eastAsia="Times New Roman" w:hAnsi="Arial" w:cs="Arial"/>
                      <w:b/>
                      <w:bCs/>
                      <w:sz w:val="24"/>
                      <w:szCs w:val="24"/>
                    </w:rPr>
                  </w:pPr>
                  <w:r>
                    <w:rPr>
                      <w:rFonts w:ascii="Arial" w:eastAsia="Times New Roman" w:hAnsi="Arial" w:cs="Arial"/>
                      <w:b/>
                      <w:bCs/>
                      <w:sz w:val="24"/>
                      <w:szCs w:val="24"/>
                    </w:rPr>
                    <w:lastRenderedPageBreak/>
                    <w:t>8</w:t>
                  </w:r>
                  <w:r w:rsidRPr="00AE560F">
                    <w:rPr>
                      <w:rFonts w:ascii="Arial" w:eastAsia="Times New Roman" w:hAnsi="Arial" w:cs="Arial"/>
                      <w:b/>
                      <w:bCs/>
                      <w:sz w:val="24"/>
                      <w:szCs w:val="24"/>
                    </w:rPr>
                    <w:t>0</w:t>
                  </w:r>
                </w:p>
              </w:tc>
              <w:tc>
                <w:tcPr>
                  <w:tcW w:w="1829" w:type="dxa"/>
                  <w:tcBorders>
                    <w:right w:val="nil"/>
                  </w:tcBorders>
                  <w:vAlign w:val="center"/>
                </w:tcPr>
                <w:p w:rsidR="00BE6C60" w:rsidRPr="00AE560F" w:rsidRDefault="00BE6C60" w:rsidP="00C4736A">
                  <w:pPr>
                    <w:spacing w:before="120" w:after="0"/>
                    <w:jc w:val="center"/>
                    <w:rPr>
                      <w:rFonts w:ascii="Arial" w:eastAsia="Times New Roman" w:hAnsi="Arial" w:cs="Arial"/>
                      <w:b/>
                      <w:bCs/>
                      <w:sz w:val="24"/>
                      <w:szCs w:val="24"/>
                    </w:rPr>
                  </w:pPr>
                  <w:r>
                    <w:rPr>
                      <w:rFonts w:ascii="Arial" w:eastAsia="Times New Roman" w:hAnsi="Arial" w:cs="Arial"/>
                      <w:b/>
                      <w:bCs/>
                      <w:sz w:val="24"/>
                      <w:szCs w:val="24"/>
                    </w:rPr>
                    <w:t>9</w:t>
                  </w:r>
                  <w:r w:rsidRPr="00AE560F">
                    <w:rPr>
                      <w:rFonts w:ascii="Arial" w:eastAsia="Times New Roman" w:hAnsi="Arial" w:cs="Arial"/>
                      <w:b/>
                      <w:bCs/>
                      <w:sz w:val="24"/>
                      <w:szCs w:val="24"/>
                    </w:rPr>
                    <w:t>0</w:t>
                  </w:r>
                </w:p>
              </w:tc>
              <w:tc>
                <w:tcPr>
                  <w:tcW w:w="236" w:type="dxa"/>
                  <w:tcBorders>
                    <w:left w:val="nil"/>
                    <w:right w:val="single" w:sz="12" w:space="0" w:color="auto"/>
                  </w:tcBorders>
                  <w:vAlign w:val="center"/>
                </w:tcPr>
                <w:p w:rsidR="00BE6C60" w:rsidRPr="00AE560F" w:rsidRDefault="00BE6C60" w:rsidP="00C4736A">
                  <w:pPr>
                    <w:spacing w:before="120" w:after="0"/>
                    <w:jc w:val="center"/>
                    <w:rPr>
                      <w:rFonts w:ascii="Arial" w:eastAsia="Times New Roman" w:hAnsi="Arial" w:cs="Arial"/>
                      <w:b/>
                      <w:bCs/>
                      <w:sz w:val="24"/>
                      <w:szCs w:val="24"/>
                    </w:rPr>
                  </w:pPr>
                </w:p>
              </w:tc>
            </w:tr>
            <w:tr w:rsidR="00BE6C60" w:rsidRPr="00AE560F" w:rsidTr="00C4736A">
              <w:trPr>
                <w:trHeight w:val="536"/>
              </w:trPr>
              <w:tc>
                <w:tcPr>
                  <w:tcW w:w="5098" w:type="dxa"/>
                  <w:gridSpan w:val="2"/>
                  <w:tcBorders>
                    <w:lef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r w:rsidRPr="00AE560F">
                    <w:rPr>
                      <w:rFonts w:ascii="Arial" w:eastAsia="Times New Roman" w:hAnsi="Arial" w:cs="Arial"/>
                      <w:b/>
                      <w:bCs/>
                      <w:sz w:val="24"/>
                      <w:szCs w:val="24"/>
                    </w:rPr>
                    <w:t>EQUITY OWNERSHIP AND CONTROL</w:t>
                  </w:r>
                </w:p>
              </w:tc>
              <w:tc>
                <w:tcPr>
                  <w:tcW w:w="1989" w:type="dxa"/>
                  <w:vAlign w:val="center"/>
                </w:tcPr>
                <w:p w:rsidR="00BE6C60" w:rsidRPr="00AE560F" w:rsidRDefault="00BE6C60" w:rsidP="00C4736A">
                  <w:pPr>
                    <w:spacing w:before="120" w:after="0"/>
                    <w:jc w:val="center"/>
                    <w:rPr>
                      <w:rFonts w:ascii="Arial" w:eastAsia="Times New Roman" w:hAnsi="Arial" w:cs="Arial"/>
                      <w:b/>
                      <w:bCs/>
                      <w:sz w:val="24"/>
                      <w:szCs w:val="24"/>
                    </w:rPr>
                  </w:pPr>
                  <w:r>
                    <w:rPr>
                      <w:rFonts w:ascii="Arial" w:eastAsia="Times New Roman" w:hAnsi="Arial" w:cs="Arial"/>
                      <w:b/>
                      <w:bCs/>
                      <w:sz w:val="24"/>
                      <w:szCs w:val="24"/>
                    </w:rPr>
                    <w:t>12</w:t>
                  </w:r>
                </w:p>
              </w:tc>
              <w:tc>
                <w:tcPr>
                  <w:tcW w:w="1829" w:type="dxa"/>
                  <w:tcBorders>
                    <w:right w:val="nil"/>
                  </w:tcBorders>
                  <w:vAlign w:val="center"/>
                </w:tcPr>
                <w:p w:rsidR="00BE6C60" w:rsidRPr="00AE560F" w:rsidRDefault="00BE6C60" w:rsidP="00C4736A">
                  <w:pPr>
                    <w:spacing w:before="120" w:after="0"/>
                    <w:jc w:val="center"/>
                    <w:rPr>
                      <w:rFonts w:ascii="Arial" w:eastAsia="Times New Roman" w:hAnsi="Arial" w:cs="Arial"/>
                      <w:b/>
                      <w:bCs/>
                      <w:sz w:val="24"/>
                      <w:szCs w:val="24"/>
                    </w:rPr>
                  </w:pPr>
                  <w:r>
                    <w:rPr>
                      <w:rFonts w:ascii="Arial" w:eastAsia="Times New Roman" w:hAnsi="Arial" w:cs="Arial"/>
                      <w:b/>
                      <w:bCs/>
                      <w:sz w:val="24"/>
                      <w:szCs w:val="24"/>
                    </w:rPr>
                    <w:t>6</w:t>
                  </w:r>
                </w:p>
              </w:tc>
              <w:tc>
                <w:tcPr>
                  <w:tcW w:w="236" w:type="dxa"/>
                  <w:tcBorders>
                    <w:left w:val="nil"/>
                    <w:right w:val="single" w:sz="12" w:space="0" w:color="auto"/>
                  </w:tcBorders>
                  <w:vAlign w:val="center"/>
                </w:tcPr>
                <w:p w:rsidR="00BE6C60" w:rsidRPr="00AE560F" w:rsidRDefault="00BE6C60" w:rsidP="00C4736A">
                  <w:pPr>
                    <w:spacing w:before="120" w:after="0"/>
                    <w:jc w:val="center"/>
                    <w:rPr>
                      <w:rFonts w:ascii="Arial" w:eastAsia="Times New Roman" w:hAnsi="Arial" w:cs="Arial"/>
                      <w:b/>
                      <w:bCs/>
                      <w:sz w:val="24"/>
                      <w:szCs w:val="24"/>
                    </w:rPr>
                  </w:pPr>
                </w:p>
              </w:tc>
            </w:tr>
            <w:tr w:rsidR="00BE6C60" w:rsidRPr="00AE560F" w:rsidTr="00C4736A">
              <w:trPr>
                <w:trHeight w:val="537"/>
              </w:trPr>
              <w:tc>
                <w:tcPr>
                  <w:tcW w:w="277" w:type="dxa"/>
                  <w:tcBorders>
                    <w:top w:val="nil"/>
                    <w:left w:val="single" w:sz="12" w:space="0" w:color="auto"/>
                    <w:bottom w:val="nil"/>
                    <w:right w:val="single" w:sz="18" w:space="0" w:color="auto"/>
                  </w:tcBorders>
                  <w:vAlign w:val="center"/>
                </w:tcPr>
                <w:p w:rsidR="00BE6C60" w:rsidRPr="00AE560F" w:rsidRDefault="00BE6C60" w:rsidP="00C4736A">
                  <w:pPr>
                    <w:spacing w:before="120" w:after="0"/>
                    <w:rPr>
                      <w:rFonts w:ascii="Arial" w:eastAsia="Times New Roman" w:hAnsi="Arial" w:cs="Arial"/>
                      <w:bCs/>
                      <w:sz w:val="24"/>
                      <w:szCs w:val="24"/>
                    </w:rPr>
                  </w:pPr>
                </w:p>
              </w:tc>
              <w:tc>
                <w:tcPr>
                  <w:tcW w:w="4821" w:type="dxa"/>
                  <w:tcBorders>
                    <w:top w:val="single" w:sz="18" w:space="0" w:color="auto"/>
                    <w:left w:val="single" w:sz="18" w:space="0" w:color="auto"/>
                    <w:bottom w:val="single" w:sz="6" w:space="0" w:color="auto"/>
                    <w:right w:val="single" w:sz="6" w:space="0" w:color="auto"/>
                  </w:tcBorders>
                  <w:vAlign w:val="center"/>
                </w:tcPr>
                <w:p w:rsidR="00BE6C60" w:rsidRPr="00AE560F" w:rsidRDefault="00BE6C60" w:rsidP="00C4736A">
                  <w:pPr>
                    <w:spacing w:before="120" w:after="0"/>
                    <w:rPr>
                      <w:rFonts w:ascii="Arial" w:eastAsia="Times New Roman" w:hAnsi="Arial" w:cs="Arial"/>
                      <w:bCs/>
                      <w:szCs w:val="24"/>
                    </w:rPr>
                  </w:pPr>
                  <w:r w:rsidRPr="00AE560F">
                    <w:rPr>
                      <w:rFonts w:ascii="Arial" w:eastAsia="Times New Roman" w:hAnsi="Arial" w:cs="Arial"/>
                      <w:bCs/>
                      <w:szCs w:val="24"/>
                    </w:rPr>
                    <w:t>% owned by HDI’s</w:t>
                  </w:r>
                  <w:r>
                    <w:rPr>
                      <w:rFonts w:ascii="Arial" w:eastAsia="Times New Roman" w:hAnsi="Arial" w:cs="Arial"/>
                      <w:bCs/>
                      <w:szCs w:val="24"/>
                    </w:rPr>
                    <w:t xml:space="preserve"> – no franchise in elections prior to 1983</w:t>
                  </w:r>
                </w:p>
              </w:tc>
              <w:tc>
                <w:tcPr>
                  <w:tcW w:w="1989" w:type="dxa"/>
                  <w:tcBorders>
                    <w:top w:val="single" w:sz="18" w:space="0" w:color="auto"/>
                    <w:left w:val="single" w:sz="6" w:space="0" w:color="auto"/>
                    <w:bottom w:val="single" w:sz="6" w:space="0" w:color="auto"/>
                    <w:right w:val="single" w:sz="6"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4</w:t>
                  </w:r>
                </w:p>
              </w:tc>
              <w:tc>
                <w:tcPr>
                  <w:tcW w:w="1829" w:type="dxa"/>
                  <w:tcBorders>
                    <w:top w:val="single" w:sz="18" w:space="0" w:color="auto"/>
                    <w:left w:val="single" w:sz="6" w:space="0" w:color="auto"/>
                    <w:bottom w:val="single" w:sz="6" w:space="0" w:color="auto"/>
                    <w:right w:val="single" w:sz="18"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2</w:t>
                  </w:r>
                </w:p>
              </w:tc>
              <w:tc>
                <w:tcPr>
                  <w:tcW w:w="236" w:type="dxa"/>
                  <w:tcBorders>
                    <w:left w:val="single" w:sz="18" w:space="0" w:color="auto"/>
                    <w:bottom w:val="nil"/>
                    <w:righ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p>
              </w:tc>
            </w:tr>
            <w:tr w:rsidR="00BE6C60" w:rsidRPr="00AE560F" w:rsidTr="00C4736A">
              <w:tc>
                <w:tcPr>
                  <w:tcW w:w="277" w:type="dxa"/>
                  <w:tcBorders>
                    <w:top w:val="nil"/>
                    <w:left w:val="single" w:sz="12" w:space="0" w:color="auto"/>
                    <w:bottom w:val="nil"/>
                    <w:right w:val="single" w:sz="18" w:space="0" w:color="auto"/>
                  </w:tcBorders>
                  <w:vAlign w:val="center"/>
                </w:tcPr>
                <w:p w:rsidR="00BE6C60" w:rsidRPr="00AE560F" w:rsidRDefault="00BE6C60" w:rsidP="00C4736A">
                  <w:pPr>
                    <w:spacing w:before="120" w:after="0"/>
                    <w:rPr>
                      <w:rFonts w:ascii="Arial" w:eastAsia="Times New Roman" w:hAnsi="Arial" w:cs="Arial"/>
                      <w:bCs/>
                      <w:sz w:val="24"/>
                      <w:szCs w:val="24"/>
                    </w:rPr>
                  </w:pPr>
                </w:p>
              </w:tc>
              <w:tc>
                <w:tcPr>
                  <w:tcW w:w="4821" w:type="dxa"/>
                  <w:tcBorders>
                    <w:top w:val="single" w:sz="6" w:space="0" w:color="auto"/>
                    <w:left w:val="single" w:sz="18" w:space="0" w:color="auto"/>
                    <w:bottom w:val="single" w:sz="6" w:space="0" w:color="auto"/>
                    <w:right w:val="single" w:sz="6" w:space="0" w:color="auto"/>
                  </w:tcBorders>
                  <w:vAlign w:val="center"/>
                </w:tcPr>
                <w:p w:rsidR="00BE6C60" w:rsidRPr="00AE560F" w:rsidRDefault="00BE6C60" w:rsidP="00C4736A">
                  <w:pPr>
                    <w:spacing w:before="120" w:after="0"/>
                    <w:rPr>
                      <w:rFonts w:ascii="Arial" w:eastAsia="Times New Roman" w:hAnsi="Arial" w:cs="Arial"/>
                      <w:bCs/>
                      <w:szCs w:val="24"/>
                    </w:rPr>
                  </w:pPr>
                  <w:r w:rsidRPr="00AE560F">
                    <w:rPr>
                      <w:rFonts w:ascii="Arial" w:eastAsia="Times New Roman" w:hAnsi="Arial" w:cs="Arial"/>
                      <w:bCs/>
                      <w:szCs w:val="24"/>
                    </w:rPr>
                    <w:t>% owned by disabled persons</w:t>
                  </w:r>
                </w:p>
              </w:tc>
              <w:tc>
                <w:tcPr>
                  <w:tcW w:w="1989" w:type="dxa"/>
                  <w:tcBorders>
                    <w:top w:val="single" w:sz="6" w:space="0" w:color="auto"/>
                    <w:left w:val="single" w:sz="6" w:space="0" w:color="auto"/>
                    <w:bottom w:val="single" w:sz="6" w:space="0" w:color="auto"/>
                    <w:right w:val="single" w:sz="6"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2</w:t>
                  </w:r>
                </w:p>
              </w:tc>
              <w:tc>
                <w:tcPr>
                  <w:tcW w:w="1829" w:type="dxa"/>
                  <w:tcBorders>
                    <w:top w:val="single" w:sz="6" w:space="0" w:color="auto"/>
                    <w:left w:val="single" w:sz="6" w:space="0" w:color="auto"/>
                    <w:bottom w:val="single" w:sz="6" w:space="0" w:color="auto"/>
                    <w:right w:val="single" w:sz="18"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sidRPr="00AE560F">
                    <w:rPr>
                      <w:rFonts w:ascii="Arial" w:eastAsia="Times New Roman" w:hAnsi="Arial" w:cs="Arial"/>
                      <w:b/>
                      <w:bCs/>
                      <w:szCs w:val="24"/>
                    </w:rPr>
                    <w:t>1</w:t>
                  </w:r>
                </w:p>
              </w:tc>
              <w:tc>
                <w:tcPr>
                  <w:tcW w:w="236" w:type="dxa"/>
                  <w:tcBorders>
                    <w:top w:val="nil"/>
                    <w:left w:val="single" w:sz="18" w:space="0" w:color="auto"/>
                    <w:bottom w:val="nil"/>
                    <w:righ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p>
              </w:tc>
            </w:tr>
            <w:tr w:rsidR="00BE6C60" w:rsidRPr="00AE560F" w:rsidTr="00C4736A">
              <w:tc>
                <w:tcPr>
                  <w:tcW w:w="277" w:type="dxa"/>
                  <w:tcBorders>
                    <w:top w:val="nil"/>
                    <w:left w:val="single" w:sz="12" w:space="0" w:color="auto"/>
                    <w:bottom w:val="nil"/>
                    <w:right w:val="single" w:sz="18" w:space="0" w:color="auto"/>
                  </w:tcBorders>
                  <w:vAlign w:val="center"/>
                </w:tcPr>
                <w:p w:rsidR="00BE6C60" w:rsidRPr="00AE560F" w:rsidRDefault="00BE6C60" w:rsidP="00C4736A">
                  <w:pPr>
                    <w:spacing w:before="120" w:after="0"/>
                    <w:rPr>
                      <w:rFonts w:ascii="Arial" w:eastAsia="Times New Roman" w:hAnsi="Arial" w:cs="Arial"/>
                      <w:bCs/>
                      <w:sz w:val="24"/>
                      <w:szCs w:val="24"/>
                    </w:rPr>
                  </w:pPr>
                </w:p>
              </w:tc>
              <w:tc>
                <w:tcPr>
                  <w:tcW w:w="4821" w:type="dxa"/>
                  <w:tcBorders>
                    <w:top w:val="single" w:sz="6" w:space="0" w:color="auto"/>
                    <w:left w:val="single" w:sz="18" w:space="0" w:color="auto"/>
                    <w:bottom w:val="single" w:sz="6" w:space="0" w:color="auto"/>
                    <w:right w:val="single" w:sz="6" w:space="0" w:color="auto"/>
                  </w:tcBorders>
                  <w:vAlign w:val="center"/>
                </w:tcPr>
                <w:p w:rsidR="00BE6C60" w:rsidRPr="00AE560F" w:rsidRDefault="00BE6C60" w:rsidP="00C4736A">
                  <w:pPr>
                    <w:spacing w:before="120" w:after="0"/>
                    <w:rPr>
                      <w:rFonts w:ascii="Arial" w:eastAsia="Times New Roman" w:hAnsi="Arial" w:cs="Arial"/>
                      <w:bCs/>
                      <w:szCs w:val="24"/>
                    </w:rPr>
                  </w:pPr>
                  <w:r w:rsidRPr="00AE560F">
                    <w:rPr>
                      <w:rFonts w:ascii="Arial" w:eastAsia="Times New Roman" w:hAnsi="Arial" w:cs="Arial"/>
                      <w:bCs/>
                      <w:szCs w:val="24"/>
                    </w:rPr>
                    <w:t>% owned by women</w:t>
                  </w:r>
                </w:p>
              </w:tc>
              <w:tc>
                <w:tcPr>
                  <w:tcW w:w="1989" w:type="dxa"/>
                  <w:tcBorders>
                    <w:top w:val="single" w:sz="6" w:space="0" w:color="auto"/>
                    <w:left w:val="single" w:sz="6" w:space="0" w:color="auto"/>
                    <w:bottom w:val="single" w:sz="6" w:space="0" w:color="auto"/>
                    <w:right w:val="single" w:sz="6"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4</w:t>
                  </w:r>
                </w:p>
              </w:tc>
              <w:tc>
                <w:tcPr>
                  <w:tcW w:w="1829" w:type="dxa"/>
                  <w:tcBorders>
                    <w:top w:val="single" w:sz="6" w:space="0" w:color="auto"/>
                    <w:left w:val="single" w:sz="6" w:space="0" w:color="auto"/>
                    <w:bottom w:val="single" w:sz="6" w:space="0" w:color="auto"/>
                    <w:right w:val="single" w:sz="18"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2</w:t>
                  </w:r>
                </w:p>
              </w:tc>
              <w:tc>
                <w:tcPr>
                  <w:tcW w:w="236" w:type="dxa"/>
                  <w:tcBorders>
                    <w:top w:val="nil"/>
                    <w:left w:val="single" w:sz="18" w:space="0" w:color="auto"/>
                    <w:bottom w:val="nil"/>
                    <w:righ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p>
              </w:tc>
            </w:tr>
            <w:tr w:rsidR="00BE6C60" w:rsidRPr="00AE560F" w:rsidTr="00C4736A">
              <w:tc>
                <w:tcPr>
                  <w:tcW w:w="277" w:type="dxa"/>
                  <w:tcBorders>
                    <w:top w:val="nil"/>
                    <w:left w:val="single" w:sz="12" w:space="0" w:color="auto"/>
                    <w:bottom w:val="nil"/>
                    <w:right w:val="single" w:sz="18" w:space="0" w:color="auto"/>
                  </w:tcBorders>
                  <w:vAlign w:val="center"/>
                </w:tcPr>
                <w:p w:rsidR="00BE6C60" w:rsidRPr="00AE560F" w:rsidRDefault="00BE6C60" w:rsidP="00C4736A">
                  <w:pPr>
                    <w:spacing w:before="120" w:after="0"/>
                    <w:rPr>
                      <w:rFonts w:ascii="Arial" w:eastAsia="Times New Roman" w:hAnsi="Arial" w:cs="Arial"/>
                      <w:bCs/>
                      <w:sz w:val="24"/>
                      <w:szCs w:val="24"/>
                    </w:rPr>
                  </w:pPr>
                </w:p>
              </w:tc>
              <w:tc>
                <w:tcPr>
                  <w:tcW w:w="4821" w:type="dxa"/>
                  <w:tcBorders>
                    <w:top w:val="single" w:sz="6" w:space="0" w:color="auto"/>
                    <w:left w:val="single" w:sz="18" w:space="0" w:color="auto"/>
                    <w:bottom w:val="single" w:sz="18" w:space="0" w:color="auto"/>
                    <w:right w:val="single" w:sz="6" w:space="0" w:color="auto"/>
                  </w:tcBorders>
                  <w:vAlign w:val="center"/>
                </w:tcPr>
                <w:p w:rsidR="00BE6C60" w:rsidRPr="00AE560F" w:rsidRDefault="00BE6C60" w:rsidP="00C4736A">
                  <w:pPr>
                    <w:spacing w:before="120" w:after="0"/>
                    <w:rPr>
                      <w:rFonts w:ascii="Arial" w:eastAsia="Times New Roman" w:hAnsi="Arial" w:cs="Arial"/>
                      <w:bCs/>
                      <w:szCs w:val="24"/>
                    </w:rPr>
                  </w:pPr>
                  <w:r w:rsidRPr="00AE560F">
                    <w:rPr>
                      <w:rFonts w:ascii="Arial" w:eastAsia="Times New Roman" w:hAnsi="Arial" w:cs="Arial"/>
                      <w:bCs/>
                      <w:szCs w:val="24"/>
                    </w:rPr>
                    <w:t>% HDI’s in executive management and/or executive board and board committees</w:t>
                  </w:r>
                </w:p>
              </w:tc>
              <w:tc>
                <w:tcPr>
                  <w:tcW w:w="1989" w:type="dxa"/>
                  <w:tcBorders>
                    <w:top w:val="single" w:sz="6" w:space="0" w:color="auto"/>
                    <w:left w:val="single" w:sz="6" w:space="0" w:color="auto"/>
                    <w:bottom w:val="single" w:sz="18" w:space="0" w:color="auto"/>
                    <w:right w:val="single" w:sz="6"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2</w:t>
                  </w:r>
                </w:p>
              </w:tc>
              <w:tc>
                <w:tcPr>
                  <w:tcW w:w="1829" w:type="dxa"/>
                  <w:tcBorders>
                    <w:top w:val="single" w:sz="6" w:space="0" w:color="auto"/>
                    <w:left w:val="single" w:sz="6" w:space="0" w:color="auto"/>
                    <w:bottom w:val="single" w:sz="18" w:space="0" w:color="auto"/>
                    <w:right w:val="single" w:sz="18"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1</w:t>
                  </w:r>
                </w:p>
              </w:tc>
              <w:tc>
                <w:tcPr>
                  <w:tcW w:w="236" w:type="dxa"/>
                  <w:tcBorders>
                    <w:top w:val="nil"/>
                    <w:left w:val="single" w:sz="18" w:space="0" w:color="auto"/>
                    <w:righ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p>
              </w:tc>
            </w:tr>
            <w:tr w:rsidR="00BE6C60" w:rsidRPr="00AE560F" w:rsidTr="00C4736A">
              <w:trPr>
                <w:trHeight w:val="585"/>
              </w:trPr>
              <w:tc>
                <w:tcPr>
                  <w:tcW w:w="5098" w:type="dxa"/>
                  <w:gridSpan w:val="2"/>
                  <w:tcBorders>
                    <w:lef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r>
                    <w:rPr>
                      <w:rFonts w:ascii="Arial" w:eastAsia="Times New Roman" w:hAnsi="Arial" w:cs="Arial"/>
                      <w:b/>
                      <w:bCs/>
                      <w:sz w:val="24"/>
                      <w:szCs w:val="24"/>
                    </w:rPr>
                    <w:t>RDP GOALS</w:t>
                  </w:r>
                </w:p>
              </w:tc>
              <w:tc>
                <w:tcPr>
                  <w:tcW w:w="1989" w:type="dxa"/>
                  <w:vAlign w:val="center"/>
                </w:tcPr>
                <w:p w:rsidR="00BE6C60" w:rsidRPr="00AE560F" w:rsidRDefault="00BE6C60" w:rsidP="00C4736A">
                  <w:pPr>
                    <w:spacing w:before="120" w:after="0"/>
                    <w:jc w:val="center"/>
                    <w:rPr>
                      <w:rFonts w:ascii="Arial" w:eastAsia="Times New Roman" w:hAnsi="Arial" w:cs="Arial"/>
                      <w:b/>
                      <w:bCs/>
                      <w:sz w:val="24"/>
                      <w:szCs w:val="24"/>
                    </w:rPr>
                  </w:pPr>
                  <w:r>
                    <w:rPr>
                      <w:rFonts w:ascii="Arial" w:eastAsia="Times New Roman" w:hAnsi="Arial" w:cs="Arial"/>
                      <w:b/>
                      <w:bCs/>
                      <w:sz w:val="24"/>
                      <w:szCs w:val="24"/>
                    </w:rPr>
                    <w:t>8</w:t>
                  </w:r>
                </w:p>
              </w:tc>
              <w:tc>
                <w:tcPr>
                  <w:tcW w:w="1829" w:type="dxa"/>
                  <w:tcBorders>
                    <w:right w:val="nil"/>
                  </w:tcBorders>
                  <w:vAlign w:val="center"/>
                </w:tcPr>
                <w:p w:rsidR="00BE6C60" w:rsidRPr="00AE560F" w:rsidRDefault="00BE6C60" w:rsidP="00C4736A">
                  <w:pPr>
                    <w:spacing w:before="120" w:after="0"/>
                    <w:jc w:val="center"/>
                    <w:rPr>
                      <w:rFonts w:ascii="Arial" w:eastAsia="Times New Roman" w:hAnsi="Arial" w:cs="Arial"/>
                      <w:b/>
                      <w:bCs/>
                      <w:sz w:val="24"/>
                      <w:szCs w:val="24"/>
                    </w:rPr>
                  </w:pPr>
                  <w:r>
                    <w:rPr>
                      <w:rFonts w:ascii="Arial" w:eastAsia="Times New Roman" w:hAnsi="Arial" w:cs="Arial"/>
                      <w:b/>
                      <w:bCs/>
                      <w:sz w:val="24"/>
                      <w:szCs w:val="24"/>
                    </w:rPr>
                    <w:t>4</w:t>
                  </w:r>
                </w:p>
              </w:tc>
              <w:tc>
                <w:tcPr>
                  <w:tcW w:w="236" w:type="dxa"/>
                  <w:tcBorders>
                    <w:left w:val="nil"/>
                    <w:bottom w:val="single" w:sz="4" w:space="0" w:color="auto"/>
                    <w:right w:val="single" w:sz="12" w:space="0" w:color="auto"/>
                  </w:tcBorders>
                  <w:vAlign w:val="center"/>
                </w:tcPr>
                <w:p w:rsidR="00BE6C60" w:rsidRPr="00AE560F" w:rsidRDefault="00BE6C60" w:rsidP="00C4736A">
                  <w:pPr>
                    <w:spacing w:before="120" w:after="0"/>
                    <w:jc w:val="center"/>
                    <w:rPr>
                      <w:rFonts w:ascii="Arial" w:eastAsia="Times New Roman" w:hAnsi="Arial" w:cs="Arial"/>
                      <w:b/>
                      <w:bCs/>
                      <w:sz w:val="24"/>
                      <w:szCs w:val="24"/>
                    </w:rPr>
                  </w:pPr>
                </w:p>
              </w:tc>
            </w:tr>
            <w:tr w:rsidR="00BE6C60" w:rsidRPr="00AE560F" w:rsidTr="00C4736A">
              <w:tc>
                <w:tcPr>
                  <w:tcW w:w="277" w:type="dxa"/>
                  <w:vMerge w:val="restart"/>
                  <w:tcBorders>
                    <w:left w:val="single" w:sz="12" w:space="0" w:color="auto"/>
                    <w:right w:val="single" w:sz="18" w:space="0" w:color="auto"/>
                  </w:tcBorders>
                  <w:vAlign w:val="center"/>
                </w:tcPr>
                <w:p w:rsidR="00BE6C60" w:rsidRPr="00AE560F" w:rsidRDefault="00BE6C60" w:rsidP="00C4736A">
                  <w:pPr>
                    <w:spacing w:before="120" w:after="0"/>
                    <w:rPr>
                      <w:rFonts w:ascii="Arial" w:eastAsia="Times New Roman" w:hAnsi="Arial" w:cs="Arial"/>
                      <w:bCs/>
                      <w:sz w:val="24"/>
                      <w:szCs w:val="24"/>
                    </w:rPr>
                  </w:pPr>
                </w:p>
              </w:tc>
              <w:tc>
                <w:tcPr>
                  <w:tcW w:w="4821" w:type="dxa"/>
                  <w:tcBorders>
                    <w:top w:val="single" w:sz="18" w:space="0" w:color="auto"/>
                    <w:left w:val="single" w:sz="18" w:space="0" w:color="auto"/>
                    <w:bottom w:val="single" w:sz="6" w:space="0" w:color="auto"/>
                    <w:right w:val="single" w:sz="6" w:space="0" w:color="auto"/>
                  </w:tcBorders>
                  <w:vAlign w:val="center"/>
                </w:tcPr>
                <w:p w:rsidR="00BE6C60" w:rsidRPr="00AE560F" w:rsidRDefault="00BE6C60" w:rsidP="00C4736A">
                  <w:pPr>
                    <w:spacing w:before="120" w:after="0"/>
                    <w:rPr>
                      <w:rFonts w:ascii="Arial" w:eastAsia="Times New Roman" w:hAnsi="Arial" w:cs="Arial"/>
                      <w:bCs/>
                      <w:szCs w:val="24"/>
                    </w:rPr>
                  </w:pPr>
                  <w:r>
                    <w:rPr>
                      <w:rFonts w:ascii="Arial" w:eastAsia="Times New Roman" w:hAnsi="Arial" w:cs="Arial"/>
                      <w:bCs/>
                      <w:szCs w:val="24"/>
                    </w:rPr>
                    <w:t>Promotion of SMME’s</w:t>
                  </w:r>
                </w:p>
              </w:tc>
              <w:tc>
                <w:tcPr>
                  <w:tcW w:w="1989" w:type="dxa"/>
                  <w:tcBorders>
                    <w:top w:val="single" w:sz="18" w:space="0" w:color="auto"/>
                    <w:left w:val="single" w:sz="6" w:space="0" w:color="auto"/>
                    <w:bottom w:val="single" w:sz="6" w:space="0" w:color="auto"/>
                    <w:right w:val="single" w:sz="6"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3</w:t>
                  </w:r>
                </w:p>
              </w:tc>
              <w:tc>
                <w:tcPr>
                  <w:tcW w:w="1829" w:type="dxa"/>
                  <w:tcBorders>
                    <w:top w:val="single" w:sz="18" w:space="0" w:color="auto"/>
                    <w:left w:val="single" w:sz="6" w:space="0" w:color="auto"/>
                    <w:bottom w:val="single" w:sz="6" w:space="0" w:color="auto"/>
                    <w:right w:val="single" w:sz="18"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1½</w:t>
                  </w:r>
                </w:p>
              </w:tc>
              <w:tc>
                <w:tcPr>
                  <w:tcW w:w="236" w:type="dxa"/>
                  <w:vMerge w:val="restart"/>
                  <w:tcBorders>
                    <w:left w:val="single" w:sz="18" w:space="0" w:color="auto"/>
                    <w:bottom w:val="single" w:sz="4" w:space="0" w:color="auto"/>
                    <w:righ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p>
              </w:tc>
            </w:tr>
            <w:tr w:rsidR="00BE6C60" w:rsidRPr="00AE560F" w:rsidTr="00C4736A">
              <w:tc>
                <w:tcPr>
                  <w:tcW w:w="277" w:type="dxa"/>
                  <w:vMerge/>
                  <w:tcBorders>
                    <w:left w:val="single" w:sz="12" w:space="0" w:color="auto"/>
                    <w:right w:val="single" w:sz="18" w:space="0" w:color="auto"/>
                  </w:tcBorders>
                  <w:vAlign w:val="center"/>
                </w:tcPr>
                <w:p w:rsidR="00BE6C60" w:rsidRPr="00AE560F" w:rsidRDefault="00BE6C60" w:rsidP="00C4736A">
                  <w:pPr>
                    <w:spacing w:before="120" w:after="0"/>
                    <w:rPr>
                      <w:rFonts w:ascii="Arial" w:eastAsia="Times New Roman" w:hAnsi="Arial" w:cs="Arial"/>
                      <w:bCs/>
                      <w:sz w:val="24"/>
                      <w:szCs w:val="24"/>
                    </w:rPr>
                  </w:pPr>
                </w:p>
              </w:tc>
              <w:tc>
                <w:tcPr>
                  <w:tcW w:w="4821" w:type="dxa"/>
                  <w:tcBorders>
                    <w:top w:val="single" w:sz="6" w:space="0" w:color="auto"/>
                    <w:left w:val="single" w:sz="18" w:space="0" w:color="auto"/>
                    <w:bottom w:val="single" w:sz="6" w:space="0" w:color="auto"/>
                    <w:right w:val="single" w:sz="6" w:space="0" w:color="auto"/>
                  </w:tcBorders>
                  <w:vAlign w:val="center"/>
                </w:tcPr>
                <w:p w:rsidR="00BE6C60" w:rsidRDefault="00BE6C60" w:rsidP="00C4736A">
                  <w:pPr>
                    <w:spacing w:before="120" w:after="0"/>
                    <w:rPr>
                      <w:rFonts w:ascii="Arial" w:eastAsia="Times New Roman" w:hAnsi="Arial" w:cs="Arial"/>
                      <w:bCs/>
                      <w:szCs w:val="24"/>
                    </w:rPr>
                  </w:pPr>
                  <w:r>
                    <w:rPr>
                      <w:rFonts w:ascii="Arial" w:eastAsia="Times New Roman" w:hAnsi="Arial" w:cs="Arial"/>
                      <w:bCs/>
                      <w:szCs w:val="24"/>
                    </w:rPr>
                    <w:t>Skills development expenditure</w:t>
                  </w:r>
                  <w:r w:rsidRPr="00AE560F">
                    <w:rPr>
                      <w:rFonts w:ascii="Arial" w:eastAsia="Times New Roman" w:hAnsi="Arial" w:cs="Arial"/>
                      <w:bCs/>
                      <w:szCs w:val="24"/>
                    </w:rPr>
                    <w:t xml:space="preserve"> </w:t>
                  </w:r>
                </w:p>
                <w:p w:rsidR="00BE6C60" w:rsidRPr="00AE560F" w:rsidRDefault="00BE6C60" w:rsidP="00C4736A">
                  <w:pPr>
                    <w:spacing w:after="0"/>
                    <w:rPr>
                      <w:rFonts w:ascii="Arial" w:eastAsia="Times New Roman" w:hAnsi="Arial" w:cs="Arial"/>
                      <w:bCs/>
                      <w:szCs w:val="24"/>
                    </w:rPr>
                  </w:pPr>
                  <w:r w:rsidRPr="00AE560F">
                    <w:rPr>
                      <w:rFonts w:ascii="Arial" w:eastAsia="Times New Roman" w:hAnsi="Arial" w:cs="Arial"/>
                      <w:bCs/>
                      <w:szCs w:val="24"/>
                    </w:rPr>
                    <w:t>as a proportion (%) of total payroll</w:t>
                  </w:r>
                </w:p>
              </w:tc>
              <w:tc>
                <w:tcPr>
                  <w:tcW w:w="1989" w:type="dxa"/>
                  <w:tcBorders>
                    <w:top w:val="single" w:sz="6" w:space="0" w:color="auto"/>
                    <w:left w:val="single" w:sz="6" w:space="0" w:color="auto"/>
                    <w:bottom w:val="single" w:sz="6" w:space="0" w:color="auto"/>
                    <w:right w:val="single" w:sz="6"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1</w:t>
                  </w:r>
                </w:p>
              </w:tc>
              <w:tc>
                <w:tcPr>
                  <w:tcW w:w="1829" w:type="dxa"/>
                  <w:tcBorders>
                    <w:top w:val="single" w:sz="6" w:space="0" w:color="auto"/>
                    <w:left w:val="single" w:sz="6" w:space="0" w:color="auto"/>
                    <w:bottom w:val="single" w:sz="6" w:space="0" w:color="auto"/>
                    <w:right w:val="single" w:sz="18"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½</w:t>
                  </w:r>
                </w:p>
              </w:tc>
              <w:tc>
                <w:tcPr>
                  <w:tcW w:w="236" w:type="dxa"/>
                  <w:vMerge/>
                  <w:tcBorders>
                    <w:left w:val="single" w:sz="18" w:space="0" w:color="auto"/>
                    <w:bottom w:val="single" w:sz="4" w:space="0" w:color="auto"/>
                    <w:righ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p>
              </w:tc>
            </w:tr>
            <w:tr w:rsidR="00BE6C60" w:rsidRPr="00AE560F" w:rsidTr="00C4736A">
              <w:tc>
                <w:tcPr>
                  <w:tcW w:w="277" w:type="dxa"/>
                  <w:vMerge/>
                  <w:tcBorders>
                    <w:left w:val="single" w:sz="12" w:space="0" w:color="auto"/>
                    <w:right w:val="single" w:sz="18" w:space="0" w:color="auto"/>
                  </w:tcBorders>
                  <w:vAlign w:val="center"/>
                </w:tcPr>
                <w:p w:rsidR="00BE6C60" w:rsidRPr="00AE560F" w:rsidRDefault="00BE6C60" w:rsidP="00C4736A">
                  <w:pPr>
                    <w:spacing w:before="120" w:after="0"/>
                    <w:rPr>
                      <w:rFonts w:ascii="Arial" w:eastAsia="Times New Roman" w:hAnsi="Arial" w:cs="Arial"/>
                      <w:bCs/>
                      <w:sz w:val="24"/>
                      <w:szCs w:val="24"/>
                    </w:rPr>
                  </w:pPr>
                </w:p>
              </w:tc>
              <w:tc>
                <w:tcPr>
                  <w:tcW w:w="4821" w:type="dxa"/>
                  <w:tcBorders>
                    <w:top w:val="single" w:sz="6" w:space="0" w:color="auto"/>
                    <w:left w:val="single" w:sz="18" w:space="0" w:color="auto"/>
                    <w:bottom w:val="single" w:sz="4" w:space="0" w:color="auto"/>
                    <w:right w:val="single" w:sz="4" w:space="0" w:color="auto"/>
                  </w:tcBorders>
                  <w:vAlign w:val="center"/>
                </w:tcPr>
                <w:p w:rsidR="00BE6C60" w:rsidRDefault="00BE6C60" w:rsidP="00C4736A">
                  <w:pPr>
                    <w:spacing w:before="120" w:after="0"/>
                    <w:rPr>
                      <w:rFonts w:ascii="Arial" w:eastAsia="Times New Roman" w:hAnsi="Arial" w:cs="Arial"/>
                      <w:bCs/>
                      <w:szCs w:val="24"/>
                    </w:rPr>
                  </w:pPr>
                  <w:r>
                    <w:rPr>
                      <w:rFonts w:ascii="Arial" w:eastAsia="Times New Roman" w:hAnsi="Arial" w:cs="Arial"/>
                      <w:bCs/>
                      <w:szCs w:val="24"/>
                    </w:rPr>
                    <w:t xml:space="preserve">Contribution towards </w:t>
                  </w:r>
                  <w:proofErr w:type="spellStart"/>
                  <w:r>
                    <w:rPr>
                      <w:rFonts w:ascii="Arial" w:eastAsia="Times New Roman" w:hAnsi="Arial" w:cs="Arial"/>
                      <w:bCs/>
                      <w:szCs w:val="24"/>
                    </w:rPr>
                    <w:t>upliftment</w:t>
                  </w:r>
                  <w:proofErr w:type="spellEnd"/>
                  <w:r>
                    <w:rPr>
                      <w:rFonts w:ascii="Arial" w:eastAsia="Times New Roman" w:hAnsi="Arial" w:cs="Arial"/>
                      <w:bCs/>
                      <w:szCs w:val="24"/>
                    </w:rPr>
                    <w:t xml:space="preserve"> of communities as a proportion (%) of turnover</w:t>
                  </w:r>
                </w:p>
              </w:tc>
              <w:tc>
                <w:tcPr>
                  <w:tcW w:w="1989" w:type="dxa"/>
                  <w:tcBorders>
                    <w:top w:val="single" w:sz="6" w:space="0" w:color="auto"/>
                    <w:left w:val="single" w:sz="4" w:space="0" w:color="auto"/>
                    <w:bottom w:val="single" w:sz="4" w:space="0" w:color="auto"/>
                    <w:right w:val="single" w:sz="4"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1</w:t>
                  </w:r>
                </w:p>
              </w:tc>
              <w:tc>
                <w:tcPr>
                  <w:tcW w:w="1829" w:type="dxa"/>
                  <w:tcBorders>
                    <w:top w:val="single" w:sz="6" w:space="0" w:color="auto"/>
                    <w:left w:val="single" w:sz="4" w:space="0" w:color="auto"/>
                    <w:bottom w:val="single" w:sz="4" w:space="0" w:color="auto"/>
                    <w:right w:val="single" w:sz="18"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½</w:t>
                  </w:r>
                </w:p>
              </w:tc>
              <w:tc>
                <w:tcPr>
                  <w:tcW w:w="236" w:type="dxa"/>
                  <w:vMerge/>
                  <w:tcBorders>
                    <w:left w:val="single" w:sz="18" w:space="0" w:color="auto"/>
                    <w:bottom w:val="single" w:sz="4" w:space="0" w:color="auto"/>
                    <w:righ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p>
              </w:tc>
            </w:tr>
            <w:tr w:rsidR="00BE6C60" w:rsidRPr="00AE560F" w:rsidTr="00C4736A">
              <w:tc>
                <w:tcPr>
                  <w:tcW w:w="277" w:type="dxa"/>
                  <w:vMerge/>
                  <w:tcBorders>
                    <w:left w:val="single" w:sz="12" w:space="0" w:color="auto"/>
                    <w:right w:val="single" w:sz="18" w:space="0" w:color="auto"/>
                  </w:tcBorders>
                  <w:vAlign w:val="center"/>
                </w:tcPr>
                <w:p w:rsidR="00BE6C60" w:rsidRPr="00AE560F" w:rsidRDefault="00BE6C60" w:rsidP="00C4736A">
                  <w:pPr>
                    <w:spacing w:before="120" w:after="0"/>
                    <w:rPr>
                      <w:rFonts w:ascii="Arial" w:eastAsia="Times New Roman" w:hAnsi="Arial" w:cs="Arial"/>
                      <w:bCs/>
                      <w:sz w:val="24"/>
                      <w:szCs w:val="24"/>
                    </w:rPr>
                  </w:pPr>
                </w:p>
              </w:tc>
              <w:tc>
                <w:tcPr>
                  <w:tcW w:w="4821" w:type="dxa"/>
                  <w:tcBorders>
                    <w:top w:val="single" w:sz="4" w:space="0" w:color="auto"/>
                    <w:left w:val="single" w:sz="18" w:space="0" w:color="auto"/>
                    <w:bottom w:val="single" w:sz="18" w:space="0" w:color="auto"/>
                    <w:right w:val="single" w:sz="4" w:space="0" w:color="auto"/>
                  </w:tcBorders>
                  <w:vAlign w:val="center"/>
                </w:tcPr>
                <w:p w:rsidR="00BE6C60" w:rsidRPr="00AE560F" w:rsidRDefault="00BE6C60" w:rsidP="00C4736A">
                  <w:pPr>
                    <w:spacing w:before="120" w:after="0"/>
                    <w:rPr>
                      <w:rFonts w:ascii="Arial" w:eastAsia="Times New Roman" w:hAnsi="Arial" w:cs="Arial"/>
                      <w:bCs/>
                      <w:szCs w:val="24"/>
                    </w:rPr>
                  </w:pPr>
                  <w:r>
                    <w:rPr>
                      <w:rFonts w:ascii="Arial" w:eastAsia="Times New Roman" w:hAnsi="Arial" w:cs="Arial"/>
                      <w:bCs/>
                      <w:szCs w:val="24"/>
                    </w:rPr>
                    <w:t>Enterprise located within Prince Albert area</w:t>
                  </w:r>
                </w:p>
              </w:tc>
              <w:tc>
                <w:tcPr>
                  <w:tcW w:w="1989" w:type="dxa"/>
                  <w:tcBorders>
                    <w:top w:val="single" w:sz="4" w:space="0" w:color="auto"/>
                    <w:left w:val="single" w:sz="4" w:space="0" w:color="auto"/>
                    <w:bottom w:val="single" w:sz="18" w:space="0" w:color="auto"/>
                    <w:right w:val="single" w:sz="4"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3</w:t>
                  </w:r>
                </w:p>
              </w:tc>
              <w:tc>
                <w:tcPr>
                  <w:tcW w:w="1829" w:type="dxa"/>
                  <w:tcBorders>
                    <w:top w:val="single" w:sz="4" w:space="0" w:color="auto"/>
                    <w:left w:val="single" w:sz="4" w:space="0" w:color="auto"/>
                    <w:bottom w:val="single" w:sz="18" w:space="0" w:color="auto"/>
                    <w:right w:val="single" w:sz="18" w:space="0" w:color="auto"/>
                  </w:tcBorders>
                  <w:vAlign w:val="center"/>
                </w:tcPr>
                <w:p w:rsidR="00BE6C60" w:rsidRPr="00AE560F" w:rsidRDefault="00BE6C60" w:rsidP="00C4736A">
                  <w:pPr>
                    <w:spacing w:before="120" w:after="0"/>
                    <w:jc w:val="center"/>
                    <w:rPr>
                      <w:rFonts w:ascii="Arial" w:eastAsia="Times New Roman" w:hAnsi="Arial" w:cs="Arial"/>
                      <w:b/>
                      <w:bCs/>
                      <w:szCs w:val="24"/>
                    </w:rPr>
                  </w:pPr>
                  <w:r>
                    <w:rPr>
                      <w:rFonts w:ascii="Arial" w:eastAsia="Times New Roman" w:hAnsi="Arial" w:cs="Arial"/>
                      <w:b/>
                      <w:bCs/>
                      <w:szCs w:val="24"/>
                    </w:rPr>
                    <w:t>1½</w:t>
                  </w:r>
                </w:p>
              </w:tc>
              <w:tc>
                <w:tcPr>
                  <w:tcW w:w="236" w:type="dxa"/>
                  <w:vMerge/>
                  <w:tcBorders>
                    <w:left w:val="single" w:sz="18" w:space="0" w:color="auto"/>
                    <w:bottom w:val="single" w:sz="4" w:space="0" w:color="auto"/>
                    <w:righ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p>
              </w:tc>
            </w:tr>
            <w:tr w:rsidR="00BE6C60" w:rsidRPr="00AE560F" w:rsidTr="00C4736A">
              <w:trPr>
                <w:trHeight w:val="343"/>
              </w:trPr>
              <w:tc>
                <w:tcPr>
                  <w:tcW w:w="5098" w:type="dxa"/>
                  <w:gridSpan w:val="2"/>
                  <w:tcBorders>
                    <w:left w:val="single" w:sz="12" w:space="0" w:color="auto"/>
                    <w:bottom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r w:rsidRPr="00AE560F">
                    <w:rPr>
                      <w:rFonts w:ascii="Arial" w:eastAsia="Times New Roman" w:hAnsi="Arial" w:cs="Arial"/>
                      <w:b/>
                      <w:bCs/>
                      <w:sz w:val="24"/>
                      <w:szCs w:val="24"/>
                    </w:rPr>
                    <w:t>MAXIMUM TOTAL POINTS</w:t>
                  </w:r>
                </w:p>
              </w:tc>
              <w:tc>
                <w:tcPr>
                  <w:tcW w:w="1989" w:type="dxa"/>
                  <w:tcBorders>
                    <w:top w:val="single" w:sz="18" w:space="0" w:color="auto"/>
                    <w:bottom w:val="single" w:sz="12" w:space="0" w:color="auto"/>
                  </w:tcBorders>
                  <w:vAlign w:val="center"/>
                </w:tcPr>
                <w:p w:rsidR="00BE6C60" w:rsidRPr="00AE560F" w:rsidRDefault="00BE6C60" w:rsidP="00C4736A">
                  <w:pPr>
                    <w:spacing w:before="120" w:after="0"/>
                    <w:jc w:val="center"/>
                    <w:rPr>
                      <w:rFonts w:ascii="Arial" w:eastAsia="Times New Roman" w:hAnsi="Arial" w:cs="Arial"/>
                      <w:b/>
                      <w:bCs/>
                      <w:sz w:val="24"/>
                      <w:szCs w:val="24"/>
                    </w:rPr>
                  </w:pPr>
                  <w:r w:rsidRPr="00AE560F">
                    <w:rPr>
                      <w:rFonts w:ascii="Arial" w:eastAsia="Times New Roman" w:hAnsi="Arial" w:cs="Arial"/>
                      <w:b/>
                      <w:bCs/>
                      <w:sz w:val="24"/>
                      <w:szCs w:val="24"/>
                    </w:rPr>
                    <w:t>100</w:t>
                  </w:r>
                </w:p>
              </w:tc>
              <w:tc>
                <w:tcPr>
                  <w:tcW w:w="1829" w:type="dxa"/>
                  <w:tcBorders>
                    <w:top w:val="single" w:sz="18" w:space="0" w:color="auto"/>
                    <w:bottom w:val="single" w:sz="12" w:space="0" w:color="auto"/>
                    <w:right w:val="nil"/>
                  </w:tcBorders>
                  <w:vAlign w:val="center"/>
                </w:tcPr>
                <w:p w:rsidR="00BE6C60" w:rsidRPr="00AE560F" w:rsidRDefault="00BE6C60" w:rsidP="00C4736A">
                  <w:pPr>
                    <w:spacing w:before="120" w:after="0"/>
                    <w:jc w:val="center"/>
                    <w:rPr>
                      <w:rFonts w:ascii="Arial" w:eastAsia="Times New Roman" w:hAnsi="Arial" w:cs="Arial"/>
                      <w:b/>
                      <w:bCs/>
                      <w:sz w:val="24"/>
                      <w:szCs w:val="24"/>
                    </w:rPr>
                  </w:pPr>
                  <w:r w:rsidRPr="00AE560F">
                    <w:rPr>
                      <w:rFonts w:ascii="Arial" w:eastAsia="Times New Roman" w:hAnsi="Arial" w:cs="Arial"/>
                      <w:b/>
                      <w:bCs/>
                      <w:sz w:val="24"/>
                      <w:szCs w:val="24"/>
                    </w:rPr>
                    <w:t>100</w:t>
                  </w:r>
                </w:p>
              </w:tc>
              <w:tc>
                <w:tcPr>
                  <w:tcW w:w="236" w:type="dxa"/>
                  <w:tcBorders>
                    <w:top w:val="single" w:sz="4" w:space="0" w:color="auto"/>
                    <w:left w:val="nil"/>
                    <w:bottom w:val="single" w:sz="12" w:space="0" w:color="auto"/>
                    <w:right w:val="single" w:sz="12" w:space="0" w:color="auto"/>
                  </w:tcBorders>
                  <w:vAlign w:val="center"/>
                </w:tcPr>
                <w:p w:rsidR="00BE6C60" w:rsidRPr="00AE560F" w:rsidRDefault="00BE6C60" w:rsidP="00C4736A">
                  <w:pPr>
                    <w:spacing w:before="120" w:after="0"/>
                    <w:rPr>
                      <w:rFonts w:ascii="Arial" w:eastAsia="Times New Roman" w:hAnsi="Arial" w:cs="Arial"/>
                      <w:b/>
                      <w:bCs/>
                      <w:sz w:val="24"/>
                      <w:szCs w:val="24"/>
                    </w:rPr>
                  </w:pPr>
                </w:p>
              </w:tc>
            </w:tr>
          </w:tbl>
          <w:p w:rsidR="00BE6C60" w:rsidRPr="00AE0955" w:rsidRDefault="00BE6C60" w:rsidP="00BE6C60">
            <w:pPr>
              <w:ind w:left="720" w:hanging="686"/>
              <w:jc w:val="both"/>
              <w:rPr>
                <w:rFonts w:ascii="Arial" w:hAnsi="Arial" w:cs="Arial"/>
                <w:bCs/>
                <w:sz w:val="24"/>
                <w:szCs w:val="24"/>
              </w:rPr>
            </w:pPr>
          </w:p>
          <w:p w:rsidR="00BE6C60" w:rsidRPr="005E3E92" w:rsidRDefault="00BE6C60" w:rsidP="00BE6C60">
            <w:pPr>
              <w:spacing w:after="240"/>
              <w:ind w:left="720" w:hanging="686"/>
              <w:jc w:val="both"/>
              <w:rPr>
                <w:rFonts w:ascii="Arial" w:hAnsi="Arial" w:cs="Arial"/>
                <w:bCs/>
                <w:sz w:val="24"/>
                <w:szCs w:val="24"/>
              </w:rPr>
            </w:pPr>
            <w:r w:rsidRPr="00AE0955">
              <w:rPr>
                <w:rFonts w:ascii="Arial" w:hAnsi="Arial" w:cs="Arial"/>
                <w:bCs/>
                <w:sz w:val="24"/>
                <w:szCs w:val="24"/>
              </w:rPr>
              <w:tab/>
              <w:t>The total number of tender adjudication points awarded is the sum of the points attained by the tender from each section listed in the above mentioned table.</w:t>
            </w:r>
          </w:p>
          <w:p w:rsidR="00CA056E" w:rsidRPr="00861F87" w:rsidRDefault="00CA056E" w:rsidP="00C4736A">
            <w:pPr>
              <w:tabs>
                <w:tab w:val="left" w:pos="1134"/>
              </w:tabs>
              <w:spacing w:after="120" w:line="24" w:lineRule="atLeast"/>
              <w:jc w:val="both"/>
              <w:rPr>
                <w:rFonts w:ascii="Arial" w:hAnsi="Arial" w:cs="Arial"/>
                <w:dstrike/>
              </w:rPr>
            </w:pPr>
          </w:p>
        </w:tc>
        <w:tc>
          <w:tcPr>
            <w:tcW w:w="4762" w:type="dxa"/>
            <w:tcBorders>
              <w:top w:val="nil"/>
              <w:bottom w:val="nil"/>
            </w:tcBorders>
          </w:tcPr>
          <w:p w:rsidR="00BE6C60" w:rsidRPr="00AE0955" w:rsidRDefault="00BE6C60" w:rsidP="00BE6C60">
            <w:pPr>
              <w:spacing w:after="120"/>
              <w:ind w:left="34"/>
              <w:jc w:val="both"/>
              <w:rPr>
                <w:rFonts w:ascii="Arial" w:hAnsi="Arial" w:cs="Arial"/>
                <w:b/>
                <w:bCs/>
                <w:sz w:val="24"/>
                <w:szCs w:val="24"/>
              </w:rPr>
            </w:pPr>
            <w:r w:rsidRPr="00AE0955">
              <w:rPr>
                <w:rFonts w:ascii="Arial" w:hAnsi="Arial" w:cs="Arial"/>
                <w:b/>
                <w:bCs/>
                <w:sz w:val="24"/>
                <w:szCs w:val="24"/>
              </w:rPr>
              <w:lastRenderedPageBreak/>
              <w:t>2.</w:t>
            </w:r>
            <w:r w:rsidRPr="00AE0955">
              <w:rPr>
                <w:rFonts w:ascii="Arial" w:hAnsi="Arial" w:cs="Arial"/>
                <w:b/>
                <w:bCs/>
                <w:sz w:val="24"/>
                <w:szCs w:val="24"/>
              </w:rPr>
              <w:tab/>
              <w:t>Allocation of points</w:t>
            </w:r>
          </w:p>
          <w:p w:rsidR="00CA056E" w:rsidRDefault="00CA056E" w:rsidP="00C4736A">
            <w:pPr>
              <w:tabs>
                <w:tab w:val="left" w:pos="426"/>
              </w:tabs>
              <w:spacing w:line="24" w:lineRule="atLeast"/>
              <w:rPr>
                <w:rFonts w:ascii="Arial" w:hAnsi="Arial" w:cs="Arial"/>
              </w:rPr>
            </w:pPr>
          </w:p>
          <w:p w:rsidR="00BE6C60" w:rsidRPr="00BE6C60" w:rsidRDefault="00BE6C60" w:rsidP="00C4736A">
            <w:pPr>
              <w:tabs>
                <w:tab w:val="left" w:pos="426"/>
              </w:tabs>
              <w:spacing w:line="24" w:lineRule="atLeast"/>
              <w:rPr>
                <w:rFonts w:ascii="Arial" w:hAnsi="Arial" w:cs="Arial"/>
                <w:i/>
              </w:rPr>
            </w:pPr>
            <w:r w:rsidRPr="00BE6C60">
              <w:rPr>
                <w:rFonts w:ascii="Arial" w:hAnsi="Arial" w:cs="Arial"/>
                <w:i/>
              </w:rPr>
              <w:t>The allocation of points will be agreed by the bid specification committee and included in the tender documents</w:t>
            </w:r>
            <w:r>
              <w:rPr>
                <w:rFonts w:ascii="Arial" w:hAnsi="Arial" w:cs="Arial"/>
                <w:i/>
              </w:rPr>
              <w:t xml:space="preserve"> or request for </w:t>
            </w:r>
            <w:proofErr w:type="spellStart"/>
            <w:r>
              <w:rPr>
                <w:rFonts w:ascii="Arial" w:hAnsi="Arial" w:cs="Arial"/>
                <w:i/>
              </w:rPr>
              <w:t>qoutation</w:t>
            </w:r>
            <w:proofErr w:type="spellEnd"/>
          </w:p>
        </w:tc>
      </w:tr>
      <w:tr w:rsidR="00CA056E" w:rsidTr="00C4736A">
        <w:tc>
          <w:tcPr>
            <w:tcW w:w="4786" w:type="dxa"/>
            <w:tcBorders>
              <w:top w:val="nil"/>
              <w:bottom w:val="single" w:sz="4" w:space="0" w:color="auto"/>
            </w:tcBorders>
          </w:tcPr>
          <w:p w:rsidR="00CA056E" w:rsidRPr="00861F87" w:rsidRDefault="00CA056E" w:rsidP="00C4736A">
            <w:pPr>
              <w:tabs>
                <w:tab w:val="left" w:pos="1134"/>
              </w:tabs>
              <w:spacing w:after="120" w:line="24" w:lineRule="atLeast"/>
              <w:jc w:val="both"/>
              <w:rPr>
                <w:rFonts w:ascii="Arial" w:hAnsi="Arial" w:cs="Arial"/>
                <w:dstrike/>
              </w:rPr>
            </w:pPr>
          </w:p>
        </w:tc>
        <w:tc>
          <w:tcPr>
            <w:tcW w:w="4762" w:type="dxa"/>
            <w:tcBorders>
              <w:top w:val="nil"/>
              <w:bottom w:val="single" w:sz="4" w:space="0" w:color="auto"/>
            </w:tcBorders>
          </w:tcPr>
          <w:p w:rsidR="00CA056E" w:rsidRPr="00B41218" w:rsidRDefault="00CA056E" w:rsidP="00C4736A">
            <w:pPr>
              <w:tabs>
                <w:tab w:val="left" w:pos="426"/>
              </w:tabs>
              <w:spacing w:line="24" w:lineRule="atLeast"/>
              <w:rPr>
                <w:rFonts w:ascii="Arial" w:hAnsi="Arial" w:cs="Arial"/>
              </w:rPr>
            </w:pPr>
          </w:p>
        </w:tc>
      </w:tr>
    </w:tbl>
    <w:p w:rsidR="0012483E" w:rsidRDefault="0012483E" w:rsidP="00CA056E">
      <w:pPr>
        <w:spacing w:after="0" w:line="24" w:lineRule="atLeast"/>
        <w:ind w:left="540" w:hanging="540"/>
        <w:rPr>
          <w:sz w:val="24"/>
          <w:lang w:val="af-ZA"/>
        </w:rPr>
      </w:pPr>
    </w:p>
    <w:p w:rsidR="0012483E" w:rsidRDefault="0012483E">
      <w:pPr>
        <w:rPr>
          <w:sz w:val="24"/>
          <w:lang w:val="af-ZA"/>
        </w:rPr>
      </w:pPr>
      <w:r>
        <w:rPr>
          <w:sz w:val="24"/>
          <w:lang w:val="af-ZA"/>
        </w:rPr>
        <w:br w:type="page"/>
      </w:r>
    </w:p>
    <w:p w:rsidR="00CA056E" w:rsidRDefault="00CA056E" w:rsidP="00CA056E">
      <w:pPr>
        <w:spacing w:after="0" w:line="24" w:lineRule="atLeast"/>
        <w:ind w:left="540" w:hanging="540"/>
        <w:rPr>
          <w:sz w:val="24"/>
          <w:lang w:val="af-ZA"/>
        </w:rPr>
      </w:pPr>
    </w:p>
    <w:p w:rsidR="008A624F" w:rsidRPr="00EE53FF" w:rsidRDefault="008A624F" w:rsidP="008A624F">
      <w:pPr>
        <w:jc w:val="both"/>
        <w:rPr>
          <w:b/>
          <w:sz w:val="28"/>
        </w:rPr>
      </w:pPr>
      <w:r>
        <w:rPr>
          <w:b/>
          <w:sz w:val="28"/>
        </w:rPr>
        <w:t>ASSET MANAGEMENT POLICY</w:t>
      </w:r>
    </w:p>
    <w:p w:rsidR="008A624F" w:rsidRDefault="008A624F" w:rsidP="008A624F">
      <w:pPr>
        <w:spacing w:after="0" w:line="24" w:lineRule="atLeast"/>
        <w:ind w:left="540" w:hanging="540"/>
        <w:rPr>
          <w:rFonts w:ascii="Arial" w:hAnsi="Arial" w:cs="Arial"/>
        </w:rPr>
      </w:pPr>
    </w:p>
    <w:tbl>
      <w:tblPr>
        <w:tblStyle w:val="TableGrid"/>
        <w:tblW w:w="0" w:type="auto"/>
        <w:tblLayout w:type="fixed"/>
        <w:tblLook w:val="04A0" w:firstRow="1" w:lastRow="0" w:firstColumn="1" w:lastColumn="0" w:noHBand="0" w:noVBand="1"/>
      </w:tblPr>
      <w:tblGrid>
        <w:gridCol w:w="4786"/>
        <w:gridCol w:w="4762"/>
      </w:tblGrid>
      <w:tr w:rsidR="008A624F" w:rsidTr="00F41195">
        <w:tc>
          <w:tcPr>
            <w:tcW w:w="4786" w:type="dxa"/>
            <w:tcBorders>
              <w:bottom w:val="single" w:sz="4" w:space="0" w:color="auto"/>
            </w:tcBorders>
            <w:shd w:val="clear" w:color="auto" w:fill="D9D9D9" w:themeFill="background1" w:themeFillShade="D9"/>
          </w:tcPr>
          <w:p w:rsidR="008A624F" w:rsidRPr="00FE1EB5" w:rsidRDefault="008A624F" w:rsidP="00F41195">
            <w:pPr>
              <w:spacing w:before="60" w:after="60"/>
              <w:jc w:val="both"/>
              <w:rPr>
                <w:b/>
                <w:sz w:val="24"/>
              </w:rPr>
            </w:pPr>
            <w:r w:rsidRPr="00FE1EB5">
              <w:rPr>
                <w:b/>
                <w:sz w:val="24"/>
              </w:rPr>
              <w:t>CURRENT POLICY</w:t>
            </w:r>
          </w:p>
        </w:tc>
        <w:tc>
          <w:tcPr>
            <w:tcW w:w="4762" w:type="dxa"/>
            <w:tcBorders>
              <w:bottom w:val="single" w:sz="4" w:space="0" w:color="auto"/>
            </w:tcBorders>
            <w:shd w:val="clear" w:color="auto" w:fill="D9D9D9" w:themeFill="background1" w:themeFillShade="D9"/>
          </w:tcPr>
          <w:p w:rsidR="008A624F" w:rsidRPr="00FE1EB5" w:rsidRDefault="008A624F" w:rsidP="00F41195">
            <w:pPr>
              <w:spacing w:before="60" w:after="60"/>
              <w:jc w:val="both"/>
              <w:rPr>
                <w:b/>
                <w:sz w:val="24"/>
              </w:rPr>
            </w:pPr>
            <w:r w:rsidRPr="00FE1EB5">
              <w:rPr>
                <w:b/>
                <w:sz w:val="24"/>
              </w:rPr>
              <w:t>RECOMMENDED ALTERATIONS</w:t>
            </w:r>
          </w:p>
        </w:tc>
      </w:tr>
      <w:tr w:rsidR="008A624F" w:rsidTr="00F41195">
        <w:tc>
          <w:tcPr>
            <w:tcW w:w="4786" w:type="dxa"/>
            <w:tcBorders>
              <w:top w:val="nil"/>
              <w:bottom w:val="nil"/>
            </w:tcBorders>
          </w:tcPr>
          <w:p w:rsidR="008A624F" w:rsidRPr="00F7380B" w:rsidRDefault="008A624F" w:rsidP="008A624F">
            <w:pPr>
              <w:jc w:val="both"/>
              <w:rPr>
                <w:rFonts w:ascii="Arial" w:hAnsi="Arial" w:cs="Arial"/>
                <w:b/>
              </w:rPr>
            </w:pPr>
            <w:r w:rsidRPr="00F7380B">
              <w:rPr>
                <w:rFonts w:ascii="Arial" w:hAnsi="Arial" w:cs="Arial"/>
                <w:b/>
              </w:rPr>
              <w:t>ACCOUNTING STANDARDS</w:t>
            </w:r>
          </w:p>
          <w:p w:rsidR="008A624F" w:rsidRPr="00F7380B" w:rsidRDefault="008A624F" w:rsidP="008A624F">
            <w:pPr>
              <w:ind w:left="720"/>
              <w:jc w:val="both"/>
              <w:rPr>
                <w:rFonts w:ascii="Arial" w:hAnsi="Arial" w:cs="Arial"/>
              </w:rPr>
            </w:pPr>
          </w:p>
          <w:p w:rsidR="008A624F" w:rsidRPr="00F7380B" w:rsidRDefault="008A624F" w:rsidP="008A624F">
            <w:pPr>
              <w:jc w:val="both"/>
              <w:rPr>
                <w:rFonts w:ascii="Arial" w:hAnsi="Arial" w:cs="Arial"/>
              </w:rPr>
            </w:pPr>
            <w:r w:rsidRPr="00F7380B">
              <w:rPr>
                <w:rFonts w:ascii="Arial" w:hAnsi="Arial" w:cs="Arial"/>
              </w:rPr>
              <w:t>This document constitutes a policy statement and shall not take precedence over the standards specified by the Accounting Standards Board.  The relevant accounting standards include:</w:t>
            </w:r>
          </w:p>
          <w:p w:rsidR="008A624F" w:rsidRPr="00F7380B" w:rsidRDefault="008A624F" w:rsidP="008A624F">
            <w:pPr>
              <w:ind w:left="720"/>
              <w:jc w:val="both"/>
              <w:rPr>
                <w:rFonts w:ascii="Arial" w:hAnsi="Arial" w:cs="Arial"/>
              </w:rPr>
            </w:pPr>
          </w:p>
          <w:p w:rsidR="008A624F" w:rsidRPr="00F7380B" w:rsidRDefault="008A624F" w:rsidP="0012483E">
            <w:pPr>
              <w:numPr>
                <w:ilvl w:val="0"/>
                <w:numId w:val="23"/>
              </w:numPr>
              <w:tabs>
                <w:tab w:val="left" w:pos="567"/>
                <w:tab w:val="left" w:pos="1418"/>
              </w:tabs>
              <w:spacing w:after="80"/>
              <w:ind w:left="567" w:hanging="567"/>
              <w:jc w:val="both"/>
              <w:rPr>
                <w:rFonts w:ascii="Arial" w:hAnsi="Arial" w:cs="Arial"/>
              </w:rPr>
            </w:pPr>
            <w:r w:rsidRPr="00F7380B">
              <w:rPr>
                <w:rFonts w:ascii="Arial" w:hAnsi="Arial" w:cs="Arial"/>
              </w:rPr>
              <w:t>GRAP 1 – Presentation of Financial Statements;</w:t>
            </w:r>
          </w:p>
          <w:p w:rsidR="008A624F" w:rsidRPr="00F7380B" w:rsidRDefault="008A624F" w:rsidP="0012483E">
            <w:pPr>
              <w:numPr>
                <w:ilvl w:val="0"/>
                <w:numId w:val="23"/>
              </w:numPr>
              <w:tabs>
                <w:tab w:val="left" w:pos="567"/>
                <w:tab w:val="left" w:pos="1418"/>
              </w:tabs>
              <w:spacing w:after="80"/>
              <w:ind w:left="567" w:hanging="567"/>
              <w:jc w:val="both"/>
              <w:rPr>
                <w:rFonts w:ascii="Arial" w:hAnsi="Arial" w:cs="Arial"/>
              </w:rPr>
            </w:pPr>
            <w:r w:rsidRPr="00F7380B">
              <w:rPr>
                <w:rFonts w:ascii="Arial" w:hAnsi="Arial" w:cs="Arial"/>
              </w:rPr>
              <w:t>GRAP 13 – Leases;</w:t>
            </w:r>
          </w:p>
          <w:p w:rsidR="008A624F" w:rsidRPr="00F7380B" w:rsidRDefault="008A624F" w:rsidP="0012483E">
            <w:pPr>
              <w:numPr>
                <w:ilvl w:val="0"/>
                <w:numId w:val="23"/>
              </w:numPr>
              <w:tabs>
                <w:tab w:val="left" w:pos="567"/>
                <w:tab w:val="left" w:pos="1418"/>
              </w:tabs>
              <w:spacing w:after="80"/>
              <w:ind w:left="567" w:hanging="567"/>
              <w:jc w:val="both"/>
              <w:rPr>
                <w:rFonts w:ascii="Arial" w:hAnsi="Arial" w:cs="Arial"/>
              </w:rPr>
            </w:pPr>
            <w:r w:rsidRPr="00F7380B">
              <w:rPr>
                <w:rFonts w:ascii="Arial" w:hAnsi="Arial" w:cs="Arial"/>
              </w:rPr>
              <w:t>GRAP 16 – Investment Property;</w:t>
            </w:r>
          </w:p>
          <w:p w:rsidR="008A624F" w:rsidRPr="00F7380B" w:rsidRDefault="008A624F" w:rsidP="0012483E">
            <w:pPr>
              <w:numPr>
                <w:ilvl w:val="0"/>
                <w:numId w:val="22"/>
              </w:numPr>
              <w:tabs>
                <w:tab w:val="clear" w:pos="1440"/>
                <w:tab w:val="left" w:pos="567"/>
                <w:tab w:val="left" w:pos="1418"/>
              </w:tabs>
              <w:spacing w:after="80"/>
              <w:ind w:left="567" w:hanging="567"/>
              <w:jc w:val="both"/>
              <w:rPr>
                <w:rFonts w:ascii="Arial" w:hAnsi="Arial" w:cs="Arial"/>
              </w:rPr>
            </w:pPr>
            <w:r w:rsidRPr="00F7380B">
              <w:rPr>
                <w:rFonts w:ascii="Arial" w:hAnsi="Arial" w:cs="Arial"/>
              </w:rPr>
              <w:t>GRAP 17 - Property, Plant and Equipment;</w:t>
            </w:r>
          </w:p>
          <w:p w:rsidR="008A624F" w:rsidRPr="00F7380B" w:rsidRDefault="008A624F" w:rsidP="0012483E">
            <w:pPr>
              <w:numPr>
                <w:ilvl w:val="0"/>
                <w:numId w:val="22"/>
              </w:numPr>
              <w:tabs>
                <w:tab w:val="clear" w:pos="1440"/>
                <w:tab w:val="left" w:pos="567"/>
                <w:tab w:val="left" w:pos="1418"/>
              </w:tabs>
              <w:spacing w:after="80"/>
              <w:ind w:left="567" w:hanging="567"/>
              <w:jc w:val="both"/>
              <w:rPr>
                <w:rFonts w:ascii="Arial" w:hAnsi="Arial" w:cs="Arial"/>
              </w:rPr>
            </w:pPr>
            <w:r w:rsidRPr="00F7380B">
              <w:rPr>
                <w:rFonts w:ascii="Arial" w:hAnsi="Arial" w:cs="Arial"/>
              </w:rPr>
              <w:t>GRAP 100 - Non – current Assets Held for Sale and Discontinued Operations;</w:t>
            </w:r>
          </w:p>
          <w:p w:rsidR="008A624F" w:rsidRPr="00F7380B" w:rsidRDefault="008A624F" w:rsidP="0012483E">
            <w:pPr>
              <w:numPr>
                <w:ilvl w:val="0"/>
                <w:numId w:val="22"/>
              </w:numPr>
              <w:tabs>
                <w:tab w:val="clear" w:pos="1440"/>
                <w:tab w:val="left" w:pos="567"/>
                <w:tab w:val="left" w:pos="1418"/>
              </w:tabs>
              <w:spacing w:after="80"/>
              <w:ind w:left="567" w:hanging="567"/>
              <w:jc w:val="both"/>
              <w:rPr>
                <w:rFonts w:ascii="Arial" w:hAnsi="Arial" w:cs="Arial"/>
              </w:rPr>
            </w:pPr>
            <w:r w:rsidRPr="00F7380B">
              <w:rPr>
                <w:rFonts w:ascii="Arial" w:hAnsi="Arial" w:cs="Arial"/>
              </w:rPr>
              <w:t xml:space="preserve">GRAP 101 - Agricultural; </w:t>
            </w:r>
          </w:p>
          <w:p w:rsidR="008A624F" w:rsidRPr="00F7380B" w:rsidRDefault="008A624F" w:rsidP="0012483E">
            <w:pPr>
              <w:numPr>
                <w:ilvl w:val="0"/>
                <w:numId w:val="22"/>
              </w:numPr>
              <w:tabs>
                <w:tab w:val="clear" w:pos="1440"/>
                <w:tab w:val="left" w:pos="567"/>
                <w:tab w:val="left" w:pos="1418"/>
              </w:tabs>
              <w:spacing w:after="80"/>
              <w:ind w:left="567" w:hanging="567"/>
              <w:jc w:val="both"/>
              <w:rPr>
                <w:rFonts w:ascii="Arial" w:hAnsi="Arial" w:cs="Arial"/>
              </w:rPr>
            </w:pPr>
            <w:r w:rsidRPr="00F7380B">
              <w:rPr>
                <w:rFonts w:ascii="Arial" w:hAnsi="Arial" w:cs="Arial"/>
              </w:rPr>
              <w:t>GRAP 102 – Intangible Assets; and</w:t>
            </w:r>
          </w:p>
          <w:p w:rsidR="008A624F" w:rsidRPr="00F7380B" w:rsidRDefault="008A624F" w:rsidP="0012483E">
            <w:pPr>
              <w:numPr>
                <w:ilvl w:val="0"/>
                <w:numId w:val="22"/>
              </w:numPr>
              <w:tabs>
                <w:tab w:val="clear" w:pos="1440"/>
                <w:tab w:val="left" w:pos="567"/>
                <w:tab w:val="left" w:pos="1418"/>
              </w:tabs>
              <w:ind w:left="567" w:hanging="567"/>
              <w:jc w:val="both"/>
              <w:rPr>
                <w:rFonts w:ascii="Arial" w:hAnsi="Arial" w:cs="Arial"/>
              </w:rPr>
            </w:pPr>
            <w:r w:rsidRPr="00F7380B">
              <w:rPr>
                <w:rFonts w:ascii="Arial" w:hAnsi="Arial" w:cs="Arial"/>
              </w:rPr>
              <w:t>IAS 36 - Impairment of Assets</w:t>
            </w:r>
          </w:p>
          <w:p w:rsidR="008A624F" w:rsidRPr="00FD1731" w:rsidRDefault="008A624F" w:rsidP="00F41195">
            <w:pPr>
              <w:spacing w:before="60" w:after="60"/>
              <w:ind w:left="540" w:hanging="540"/>
              <w:rPr>
                <w:rFonts w:ascii="Arial" w:hAnsi="Arial" w:cs="Arial"/>
                <w:b/>
              </w:rPr>
            </w:pPr>
          </w:p>
        </w:tc>
        <w:tc>
          <w:tcPr>
            <w:tcW w:w="4762" w:type="dxa"/>
            <w:tcBorders>
              <w:top w:val="nil"/>
              <w:bottom w:val="nil"/>
            </w:tcBorders>
          </w:tcPr>
          <w:p w:rsidR="00BC1901" w:rsidRPr="00F7380B" w:rsidRDefault="00BC1901" w:rsidP="00BC1901">
            <w:pPr>
              <w:jc w:val="both"/>
              <w:rPr>
                <w:rFonts w:ascii="Arial" w:hAnsi="Arial" w:cs="Arial"/>
                <w:b/>
              </w:rPr>
            </w:pPr>
            <w:r w:rsidRPr="00F7380B">
              <w:rPr>
                <w:rFonts w:ascii="Arial" w:hAnsi="Arial" w:cs="Arial"/>
                <w:b/>
              </w:rPr>
              <w:t>ACCOUNTING STANDARDS</w:t>
            </w:r>
          </w:p>
          <w:p w:rsidR="00BC1901" w:rsidRPr="00F7380B" w:rsidRDefault="00BC1901" w:rsidP="00BC1901">
            <w:pPr>
              <w:ind w:left="720"/>
              <w:jc w:val="both"/>
              <w:rPr>
                <w:rFonts w:ascii="Arial" w:hAnsi="Arial" w:cs="Arial"/>
              </w:rPr>
            </w:pPr>
          </w:p>
          <w:p w:rsidR="00BC1901" w:rsidRPr="00F7380B" w:rsidRDefault="00BC1901" w:rsidP="00BC1901">
            <w:pPr>
              <w:jc w:val="both"/>
              <w:rPr>
                <w:rFonts w:ascii="Arial" w:hAnsi="Arial" w:cs="Arial"/>
              </w:rPr>
            </w:pPr>
            <w:r w:rsidRPr="00F7380B">
              <w:rPr>
                <w:rFonts w:ascii="Arial" w:hAnsi="Arial" w:cs="Arial"/>
              </w:rPr>
              <w:t>This document constitutes a policy statement and shall not take precedence over the standards specified by the Accounting Standards Board.  The relevant accounting standards include:</w:t>
            </w:r>
          </w:p>
          <w:p w:rsidR="00BC1901" w:rsidRPr="00F7380B" w:rsidRDefault="00BC1901" w:rsidP="00BC1901">
            <w:pPr>
              <w:ind w:left="720"/>
              <w:jc w:val="both"/>
              <w:rPr>
                <w:rFonts w:ascii="Arial" w:hAnsi="Arial" w:cs="Arial"/>
              </w:rPr>
            </w:pPr>
          </w:p>
          <w:p w:rsidR="00BC1901" w:rsidRPr="00F7380B" w:rsidRDefault="00BC1901" w:rsidP="0012483E">
            <w:pPr>
              <w:numPr>
                <w:ilvl w:val="0"/>
                <w:numId w:val="23"/>
              </w:numPr>
              <w:tabs>
                <w:tab w:val="left" w:pos="567"/>
                <w:tab w:val="left" w:pos="1418"/>
              </w:tabs>
              <w:spacing w:after="80"/>
              <w:ind w:left="567" w:hanging="567"/>
              <w:jc w:val="both"/>
              <w:rPr>
                <w:rFonts w:ascii="Arial" w:hAnsi="Arial" w:cs="Arial"/>
              </w:rPr>
            </w:pPr>
            <w:r w:rsidRPr="00F7380B">
              <w:rPr>
                <w:rFonts w:ascii="Arial" w:hAnsi="Arial" w:cs="Arial"/>
              </w:rPr>
              <w:t>GRAP 1 – Presentation of Financial Statements;</w:t>
            </w:r>
          </w:p>
          <w:p w:rsidR="00BC1901" w:rsidRPr="00F7380B" w:rsidRDefault="00BC1901" w:rsidP="0012483E">
            <w:pPr>
              <w:numPr>
                <w:ilvl w:val="0"/>
                <w:numId w:val="23"/>
              </w:numPr>
              <w:tabs>
                <w:tab w:val="left" w:pos="567"/>
                <w:tab w:val="left" w:pos="1418"/>
              </w:tabs>
              <w:spacing w:after="80"/>
              <w:ind w:left="567" w:hanging="567"/>
              <w:jc w:val="both"/>
              <w:rPr>
                <w:rFonts w:ascii="Arial" w:hAnsi="Arial" w:cs="Arial"/>
              </w:rPr>
            </w:pPr>
            <w:r w:rsidRPr="00F7380B">
              <w:rPr>
                <w:rFonts w:ascii="Arial" w:hAnsi="Arial" w:cs="Arial"/>
              </w:rPr>
              <w:t>GRAP 13 – Leases;</w:t>
            </w:r>
          </w:p>
          <w:p w:rsidR="00BC1901" w:rsidRPr="00F7380B" w:rsidRDefault="00BC1901" w:rsidP="0012483E">
            <w:pPr>
              <w:numPr>
                <w:ilvl w:val="0"/>
                <w:numId w:val="23"/>
              </w:numPr>
              <w:tabs>
                <w:tab w:val="left" w:pos="567"/>
                <w:tab w:val="left" w:pos="1418"/>
              </w:tabs>
              <w:spacing w:after="80"/>
              <w:ind w:left="567" w:hanging="567"/>
              <w:jc w:val="both"/>
              <w:rPr>
                <w:rFonts w:ascii="Arial" w:hAnsi="Arial" w:cs="Arial"/>
              </w:rPr>
            </w:pPr>
            <w:r w:rsidRPr="00F7380B">
              <w:rPr>
                <w:rFonts w:ascii="Arial" w:hAnsi="Arial" w:cs="Arial"/>
              </w:rPr>
              <w:t>GRAP 16 – Investment Property;</w:t>
            </w:r>
          </w:p>
          <w:p w:rsidR="00BC1901" w:rsidRPr="00F7380B" w:rsidRDefault="00BC1901" w:rsidP="0012483E">
            <w:pPr>
              <w:numPr>
                <w:ilvl w:val="0"/>
                <w:numId w:val="22"/>
              </w:numPr>
              <w:tabs>
                <w:tab w:val="clear" w:pos="1440"/>
                <w:tab w:val="left" w:pos="567"/>
                <w:tab w:val="left" w:pos="1418"/>
              </w:tabs>
              <w:spacing w:after="80"/>
              <w:ind w:left="567" w:hanging="567"/>
              <w:jc w:val="both"/>
              <w:rPr>
                <w:rFonts w:ascii="Arial" w:hAnsi="Arial" w:cs="Arial"/>
              </w:rPr>
            </w:pPr>
            <w:r w:rsidRPr="00F7380B">
              <w:rPr>
                <w:rFonts w:ascii="Arial" w:hAnsi="Arial" w:cs="Arial"/>
              </w:rPr>
              <w:t>GRAP 17 - Property, Plant and Equipment;</w:t>
            </w:r>
          </w:p>
          <w:p w:rsidR="00BC1901" w:rsidRPr="00F7380B" w:rsidRDefault="00BC1901" w:rsidP="0012483E">
            <w:pPr>
              <w:numPr>
                <w:ilvl w:val="0"/>
                <w:numId w:val="22"/>
              </w:numPr>
              <w:tabs>
                <w:tab w:val="clear" w:pos="1440"/>
                <w:tab w:val="left" w:pos="567"/>
                <w:tab w:val="left" w:pos="1418"/>
              </w:tabs>
              <w:spacing w:after="80"/>
              <w:ind w:left="567" w:hanging="567"/>
              <w:jc w:val="both"/>
              <w:rPr>
                <w:rFonts w:ascii="Arial" w:hAnsi="Arial" w:cs="Arial"/>
              </w:rPr>
            </w:pPr>
            <w:r w:rsidRPr="00F7380B">
              <w:rPr>
                <w:rFonts w:ascii="Arial" w:hAnsi="Arial" w:cs="Arial"/>
              </w:rPr>
              <w:t xml:space="preserve">GRAP 100 - </w:t>
            </w:r>
            <w:r w:rsidRPr="00BC1901">
              <w:rPr>
                <w:rFonts w:ascii="Arial" w:hAnsi="Arial" w:cs="Arial"/>
                <w:strike/>
              </w:rPr>
              <w:t>Non – current Assets Held for Sale and</w:t>
            </w:r>
            <w:r w:rsidRPr="00F7380B">
              <w:rPr>
                <w:rFonts w:ascii="Arial" w:hAnsi="Arial" w:cs="Arial"/>
              </w:rPr>
              <w:t xml:space="preserve"> Discontinued Operations;</w:t>
            </w:r>
          </w:p>
          <w:p w:rsidR="00BC1901" w:rsidRPr="00F7380B" w:rsidRDefault="00BC1901" w:rsidP="0012483E">
            <w:pPr>
              <w:numPr>
                <w:ilvl w:val="0"/>
                <w:numId w:val="22"/>
              </w:numPr>
              <w:tabs>
                <w:tab w:val="clear" w:pos="1440"/>
                <w:tab w:val="left" w:pos="567"/>
                <w:tab w:val="left" w:pos="1418"/>
              </w:tabs>
              <w:spacing w:after="80"/>
              <w:ind w:left="567" w:hanging="567"/>
              <w:jc w:val="both"/>
              <w:rPr>
                <w:rFonts w:ascii="Arial" w:hAnsi="Arial" w:cs="Arial"/>
              </w:rPr>
            </w:pPr>
            <w:r w:rsidRPr="00F7380B">
              <w:rPr>
                <w:rFonts w:ascii="Arial" w:hAnsi="Arial" w:cs="Arial"/>
              </w:rPr>
              <w:t xml:space="preserve">GRAP </w:t>
            </w:r>
            <w:r w:rsidRPr="00BC1901">
              <w:rPr>
                <w:rFonts w:ascii="Arial" w:hAnsi="Arial" w:cs="Arial"/>
                <w:strike/>
              </w:rPr>
              <w:t>101</w:t>
            </w:r>
            <w:r>
              <w:rPr>
                <w:rFonts w:ascii="Arial" w:hAnsi="Arial" w:cs="Arial"/>
              </w:rPr>
              <w:t xml:space="preserve"> 27</w:t>
            </w:r>
            <w:r w:rsidRPr="00F7380B">
              <w:rPr>
                <w:rFonts w:ascii="Arial" w:hAnsi="Arial" w:cs="Arial"/>
              </w:rPr>
              <w:t xml:space="preserve"> - Agricultural; </w:t>
            </w:r>
          </w:p>
          <w:p w:rsidR="00BC1901" w:rsidRPr="00F7380B" w:rsidRDefault="00BC1901" w:rsidP="0012483E">
            <w:pPr>
              <w:numPr>
                <w:ilvl w:val="0"/>
                <w:numId w:val="22"/>
              </w:numPr>
              <w:tabs>
                <w:tab w:val="clear" w:pos="1440"/>
                <w:tab w:val="left" w:pos="567"/>
                <w:tab w:val="left" w:pos="1418"/>
              </w:tabs>
              <w:spacing w:after="80"/>
              <w:ind w:left="567" w:hanging="567"/>
              <w:jc w:val="both"/>
              <w:rPr>
                <w:rFonts w:ascii="Arial" w:hAnsi="Arial" w:cs="Arial"/>
              </w:rPr>
            </w:pPr>
            <w:r w:rsidRPr="00F7380B">
              <w:rPr>
                <w:rFonts w:ascii="Arial" w:hAnsi="Arial" w:cs="Arial"/>
              </w:rPr>
              <w:t xml:space="preserve">GRAP </w:t>
            </w:r>
            <w:r w:rsidRPr="00BC1901">
              <w:rPr>
                <w:rFonts w:ascii="Arial" w:hAnsi="Arial" w:cs="Arial"/>
                <w:strike/>
              </w:rPr>
              <w:t>102</w:t>
            </w:r>
            <w:r>
              <w:rPr>
                <w:rFonts w:ascii="Arial" w:hAnsi="Arial" w:cs="Arial"/>
              </w:rPr>
              <w:t xml:space="preserve"> 31</w:t>
            </w:r>
            <w:r w:rsidRPr="00F7380B">
              <w:rPr>
                <w:rFonts w:ascii="Arial" w:hAnsi="Arial" w:cs="Arial"/>
              </w:rPr>
              <w:t xml:space="preserve"> – Intangible Assets; and</w:t>
            </w:r>
          </w:p>
          <w:p w:rsidR="00BC1901" w:rsidRPr="00F7380B" w:rsidRDefault="00BC1901" w:rsidP="0012483E">
            <w:pPr>
              <w:numPr>
                <w:ilvl w:val="0"/>
                <w:numId w:val="22"/>
              </w:numPr>
              <w:tabs>
                <w:tab w:val="clear" w:pos="1440"/>
                <w:tab w:val="left" w:pos="567"/>
                <w:tab w:val="left" w:pos="1418"/>
              </w:tabs>
              <w:ind w:left="567" w:hanging="567"/>
              <w:jc w:val="both"/>
              <w:rPr>
                <w:rFonts w:ascii="Arial" w:hAnsi="Arial" w:cs="Arial"/>
              </w:rPr>
            </w:pPr>
            <w:r w:rsidRPr="00F7380B">
              <w:rPr>
                <w:rFonts w:ascii="Arial" w:hAnsi="Arial" w:cs="Arial"/>
              </w:rPr>
              <w:t>IAS 36 - Impairment of Assets</w:t>
            </w:r>
          </w:p>
          <w:p w:rsidR="008A624F" w:rsidRPr="00F73170" w:rsidRDefault="008A624F" w:rsidP="00F41195">
            <w:pPr>
              <w:tabs>
                <w:tab w:val="left" w:pos="1168"/>
              </w:tabs>
              <w:spacing w:before="60" w:after="60"/>
              <w:ind w:left="1026" w:hanging="425"/>
              <w:jc w:val="both"/>
              <w:rPr>
                <w:i/>
                <w:sz w:val="24"/>
                <w:szCs w:val="24"/>
              </w:rPr>
            </w:pPr>
          </w:p>
        </w:tc>
      </w:tr>
      <w:tr w:rsidR="008A624F" w:rsidTr="00F41195">
        <w:tc>
          <w:tcPr>
            <w:tcW w:w="4786" w:type="dxa"/>
            <w:tcBorders>
              <w:top w:val="nil"/>
              <w:bottom w:val="single" w:sz="4" w:space="0" w:color="auto"/>
            </w:tcBorders>
          </w:tcPr>
          <w:p w:rsidR="008A624F" w:rsidRPr="00861F87" w:rsidRDefault="008A624F" w:rsidP="00F41195">
            <w:pPr>
              <w:tabs>
                <w:tab w:val="left" w:pos="1134"/>
              </w:tabs>
              <w:spacing w:after="120" w:line="24" w:lineRule="atLeast"/>
              <w:jc w:val="both"/>
              <w:rPr>
                <w:rFonts w:ascii="Arial" w:hAnsi="Arial" w:cs="Arial"/>
                <w:dstrike/>
              </w:rPr>
            </w:pPr>
          </w:p>
        </w:tc>
        <w:tc>
          <w:tcPr>
            <w:tcW w:w="4762" w:type="dxa"/>
            <w:tcBorders>
              <w:top w:val="nil"/>
              <w:bottom w:val="single" w:sz="4" w:space="0" w:color="auto"/>
            </w:tcBorders>
          </w:tcPr>
          <w:p w:rsidR="008A624F" w:rsidRPr="00B41218" w:rsidRDefault="008A624F" w:rsidP="00F41195">
            <w:pPr>
              <w:tabs>
                <w:tab w:val="left" w:pos="426"/>
              </w:tabs>
              <w:spacing w:line="24" w:lineRule="atLeast"/>
              <w:rPr>
                <w:rFonts w:ascii="Arial" w:hAnsi="Arial" w:cs="Arial"/>
              </w:rPr>
            </w:pPr>
          </w:p>
        </w:tc>
      </w:tr>
    </w:tbl>
    <w:p w:rsidR="008A624F" w:rsidRDefault="008A624F" w:rsidP="008A624F">
      <w:pPr>
        <w:spacing w:after="0" w:line="24" w:lineRule="atLeast"/>
        <w:ind w:left="540" w:hanging="540"/>
        <w:rPr>
          <w:sz w:val="24"/>
          <w:lang w:val="af-ZA"/>
        </w:rPr>
      </w:pPr>
    </w:p>
    <w:p w:rsidR="00BC1901" w:rsidRPr="00EE53FF" w:rsidRDefault="00BC1901" w:rsidP="00BC1901">
      <w:pPr>
        <w:jc w:val="both"/>
        <w:rPr>
          <w:b/>
          <w:sz w:val="28"/>
        </w:rPr>
      </w:pPr>
      <w:r>
        <w:rPr>
          <w:b/>
          <w:sz w:val="28"/>
        </w:rPr>
        <w:t>INDIGENT POLICY</w:t>
      </w:r>
    </w:p>
    <w:p w:rsidR="00BC1901" w:rsidRDefault="00BC1901" w:rsidP="00BC1901">
      <w:pPr>
        <w:spacing w:after="0" w:line="24" w:lineRule="atLeast"/>
        <w:ind w:left="540" w:hanging="540"/>
        <w:rPr>
          <w:rFonts w:ascii="Arial" w:hAnsi="Arial" w:cs="Arial"/>
        </w:rPr>
      </w:pPr>
    </w:p>
    <w:tbl>
      <w:tblPr>
        <w:tblStyle w:val="TableGrid"/>
        <w:tblW w:w="0" w:type="auto"/>
        <w:tblLayout w:type="fixed"/>
        <w:tblLook w:val="04A0" w:firstRow="1" w:lastRow="0" w:firstColumn="1" w:lastColumn="0" w:noHBand="0" w:noVBand="1"/>
      </w:tblPr>
      <w:tblGrid>
        <w:gridCol w:w="4786"/>
        <w:gridCol w:w="4762"/>
      </w:tblGrid>
      <w:tr w:rsidR="00BC1901" w:rsidTr="00F41195">
        <w:tc>
          <w:tcPr>
            <w:tcW w:w="4786" w:type="dxa"/>
            <w:tcBorders>
              <w:bottom w:val="single" w:sz="4" w:space="0" w:color="auto"/>
            </w:tcBorders>
            <w:shd w:val="clear" w:color="auto" w:fill="D9D9D9" w:themeFill="background1" w:themeFillShade="D9"/>
          </w:tcPr>
          <w:p w:rsidR="00BC1901" w:rsidRPr="00FE1EB5" w:rsidRDefault="00BC1901" w:rsidP="00F41195">
            <w:pPr>
              <w:spacing w:before="60" w:after="60"/>
              <w:jc w:val="both"/>
              <w:rPr>
                <w:b/>
                <w:sz w:val="24"/>
              </w:rPr>
            </w:pPr>
            <w:r w:rsidRPr="00FE1EB5">
              <w:rPr>
                <w:b/>
                <w:sz w:val="24"/>
              </w:rPr>
              <w:t>CURRENT POLICY</w:t>
            </w:r>
          </w:p>
        </w:tc>
        <w:tc>
          <w:tcPr>
            <w:tcW w:w="4762" w:type="dxa"/>
            <w:tcBorders>
              <w:bottom w:val="single" w:sz="4" w:space="0" w:color="auto"/>
            </w:tcBorders>
            <w:shd w:val="clear" w:color="auto" w:fill="D9D9D9" w:themeFill="background1" w:themeFillShade="D9"/>
          </w:tcPr>
          <w:p w:rsidR="00BC1901" w:rsidRPr="00FE1EB5" w:rsidRDefault="00BC1901" w:rsidP="00F41195">
            <w:pPr>
              <w:spacing w:before="60" w:after="60"/>
              <w:jc w:val="both"/>
              <w:rPr>
                <w:b/>
                <w:sz w:val="24"/>
              </w:rPr>
            </w:pPr>
            <w:r w:rsidRPr="00FE1EB5">
              <w:rPr>
                <w:b/>
                <w:sz w:val="24"/>
              </w:rPr>
              <w:t>RECOMMENDED ALTERATIONS</w:t>
            </w:r>
          </w:p>
        </w:tc>
      </w:tr>
      <w:tr w:rsidR="00BC1901" w:rsidTr="00F41195">
        <w:tc>
          <w:tcPr>
            <w:tcW w:w="4786" w:type="dxa"/>
            <w:tcBorders>
              <w:top w:val="nil"/>
              <w:bottom w:val="nil"/>
            </w:tcBorders>
          </w:tcPr>
          <w:p w:rsidR="00123D4D" w:rsidRPr="00A664B1" w:rsidRDefault="00123D4D" w:rsidP="0012483E">
            <w:pPr>
              <w:numPr>
                <w:ilvl w:val="0"/>
                <w:numId w:val="25"/>
              </w:numPr>
              <w:tabs>
                <w:tab w:val="clear" w:pos="1080"/>
                <w:tab w:val="num" w:pos="0"/>
                <w:tab w:val="left" w:pos="468"/>
              </w:tabs>
              <w:spacing w:after="120" w:line="276" w:lineRule="auto"/>
              <w:ind w:left="1077" w:hanging="1077"/>
              <w:jc w:val="both"/>
              <w:rPr>
                <w:rFonts w:ascii="Arial" w:hAnsi="Arial"/>
                <w:b/>
                <w:bCs/>
              </w:rPr>
            </w:pPr>
            <w:r w:rsidRPr="00421F82">
              <w:rPr>
                <w:rFonts w:ascii="Arial" w:hAnsi="Arial"/>
                <w:b/>
                <w:bCs/>
              </w:rPr>
              <w:t>EXTENT OF INDIGENT SUPPORT</w:t>
            </w:r>
          </w:p>
          <w:p w:rsidR="00123D4D" w:rsidRPr="00421F82" w:rsidRDefault="00123D4D" w:rsidP="0012483E">
            <w:pPr>
              <w:numPr>
                <w:ilvl w:val="1"/>
                <w:numId w:val="24"/>
              </w:numPr>
              <w:tabs>
                <w:tab w:val="clear" w:pos="720"/>
                <w:tab w:val="num" w:pos="468"/>
              </w:tabs>
              <w:spacing w:line="276" w:lineRule="auto"/>
              <w:ind w:left="468" w:hanging="468"/>
              <w:jc w:val="both"/>
              <w:rPr>
                <w:rFonts w:ascii="Arial" w:hAnsi="Arial"/>
              </w:rPr>
            </w:pPr>
            <w:r w:rsidRPr="00421F82">
              <w:rPr>
                <w:rFonts w:ascii="Arial" w:hAnsi="Arial"/>
              </w:rPr>
              <w:t>The subsidies on rates and the specified service charges will be determined as part of each annual budget and in terms of the municipality’s policies on property rates and tariffs.</w:t>
            </w:r>
          </w:p>
          <w:p w:rsidR="00123D4D" w:rsidRPr="00421F82" w:rsidRDefault="00123D4D" w:rsidP="00123D4D">
            <w:pPr>
              <w:tabs>
                <w:tab w:val="num" w:pos="1440"/>
              </w:tabs>
              <w:spacing w:line="276" w:lineRule="auto"/>
              <w:jc w:val="both"/>
              <w:rPr>
                <w:rFonts w:ascii="Arial" w:hAnsi="Arial"/>
              </w:rPr>
            </w:pPr>
          </w:p>
          <w:p w:rsidR="00123D4D" w:rsidRDefault="00123D4D" w:rsidP="0012483E">
            <w:pPr>
              <w:numPr>
                <w:ilvl w:val="1"/>
                <w:numId w:val="24"/>
              </w:numPr>
              <w:tabs>
                <w:tab w:val="clear" w:pos="720"/>
                <w:tab w:val="num" w:pos="468"/>
              </w:tabs>
              <w:spacing w:before="120" w:line="276" w:lineRule="auto"/>
              <w:ind w:left="471" w:hanging="471"/>
              <w:jc w:val="both"/>
              <w:rPr>
                <w:rFonts w:ascii="Arial" w:hAnsi="Arial"/>
              </w:rPr>
            </w:pPr>
            <w:r w:rsidRPr="00421F82">
              <w:rPr>
                <w:rFonts w:ascii="Arial" w:hAnsi="Arial"/>
              </w:rPr>
              <w:t>The source of funding of the indigent</w:t>
            </w:r>
            <w:r>
              <w:rPr>
                <w:rFonts w:ascii="Arial" w:hAnsi="Arial"/>
              </w:rPr>
              <w:t xml:space="preserve"> </w:t>
            </w:r>
            <w:r w:rsidRPr="00CD726B">
              <w:rPr>
                <w:rFonts w:ascii="Arial" w:hAnsi="Arial"/>
              </w:rPr>
              <w:t>subsidy, is that portion of the equitable</w:t>
            </w:r>
          </w:p>
          <w:p w:rsidR="00123D4D" w:rsidRDefault="00123D4D" w:rsidP="00123D4D">
            <w:pPr>
              <w:pStyle w:val="ListParagraph"/>
              <w:rPr>
                <w:rFonts w:ascii="Arial" w:hAnsi="Arial"/>
              </w:rPr>
            </w:pPr>
          </w:p>
          <w:p w:rsidR="00123D4D" w:rsidRPr="00CD726B" w:rsidRDefault="00123D4D" w:rsidP="00123D4D">
            <w:pPr>
              <w:spacing w:before="120" w:line="276" w:lineRule="auto"/>
              <w:ind w:left="471"/>
              <w:jc w:val="both"/>
              <w:rPr>
                <w:rFonts w:ascii="Arial" w:hAnsi="Arial"/>
              </w:rPr>
            </w:pPr>
            <w:proofErr w:type="gramStart"/>
            <w:r w:rsidRPr="00CD726B">
              <w:rPr>
                <w:rFonts w:ascii="Arial" w:hAnsi="Arial"/>
              </w:rPr>
              <w:t>share</w:t>
            </w:r>
            <w:proofErr w:type="gramEnd"/>
            <w:r w:rsidRPr="00CD726B">
              <w:rPr>
                <w:rFonts w:ascii="Arial" w:hAnsi="Arial"/>
              </w:rPr>
              <w:t xml:space="preserve"> contribution towards the municipality, made from the National Government’s </w:t>
            </w:r>
            <w:proofErr w:type="spellStart"/>
            <w:r w:rsidRPr="00CD726B">
              <w:rPr>
                <w:rFonts w:ascii="Arial" w:hAnsi="Arial"/>
              </w:rPr>
              <w:t>Fiscus</w:t>
            </w:r>
            <w:proofErr w:type="spellEnd"/>
            <w:r w:rsidRPr="00CD726B">
              <w:rPr>
                <w:rFonts w:ascii="Arial" w:hAnsi="Arial"/>
              </w:rPr>
              <w:t xml:space="preserve"> and as provided for in the budget.  As such, the subsidy can only be credited to the qualifying </w:t>
            </w:r>
            <w:r w:rsidRPr="00CD726B">
              <w:rPr>
                <w:rFonts w:ascii="Arial" w:hAnsi="Arial"/>
              </w:rPr>
              <w:lastRenderedPageBreak/>
              <w:t>customer’s accounts until the amount received by the Municipality from National Government for this purpose has been exhausted, whereupon no further credits will be made, or the level of the credits reduced, until further national funds are received.</w:t>
            </w:r>
          </w:p>
          <w:p w:rsidR="00123D4D" w:rsidRPr="00421F82" w:rsidRDefault="00123D4D" w:rsidP="00123D4D">
            <w:pPr>
              <w:spacing w:line="276" w:lineRule="auto"/>
              <w:jc w:val="both"/>
              <w:rPr>
                <w:rFonts w:ascii="Arial" w:hAnsi="Arial"/>
              </w:rPr>
            </w:pPr>
          </w:p>
          <w:p w:rsidR="00123D4D" w:rsidRPr="00421F82" w:rsidRDefault="00123D4D" w:rsidP="00123D4D">
            <w:pPr>
              <w:spacing w:line="276" w:lineRule="auto"/>
              <w:jc w:val="both"/>
              <w:rPr>
                <w:rFonts w:ascii="Arial" w:hAnsi="Arial"/>
              </w:rPr>
            </w:pPr>
          </w:p>
          <w:p w:rsidR="00BC1901" w:rsidRPr="00FD1731" w:rsidRDefault="00123D4D" w:rsidP="00123D4D">
            <w:pPr>
              <w:tabs>
                <w:tab w:val="left" w:pos="567"/>
                <w:tab w:val="left" w:pos="1418"/>
              </w:tabs>
              <w:ind w:left="567"/>
              <w:jc w:val="both"/>
              <w:rPr>
                <w:rFonts w:ascii="Arial" w:hAnsi="Arial" w:cs="Arial"/>
                <w:b/>
              </w:rPr>
            </w:pPr>
            <w:r w:rsidRPr="00421F82">
              <w:rPr>
                <w:rFonts w:ascii="Arial" w:hAnsi="Arial"/>
              </w:rPr>
              <w:t>In respect of water, a 100% subsidy up to 6kl per household per month will apply.  In respect of electricity, a 100% subsidy up to 70kwh per month will apply.  If consumption exceeds any of the above per metering period (month), the consumer will be charged at normal tariffs for actual consumption on the quantity exceeding the above mentioned limits</w:t>
            </w:r>
          </w:p>
        </w:tc>
        <w:tc>
          <w:tcPr>
            <w:tcW w:w="4762" w:type="dxa"/>
            <w:tcBorders>
              <w:top w:val="nil"/>
              <w:bottom w:val="nil"/>
            </w:tcBorders>
          </w:tcPr>
          <w:p w:rsidR="00123D4D" w:rsidRPr="00A664B1" w:rsidRDefault="00123D4D" w:rsidP="0012483E">
            <w:pPr>
              <w:numPr>
                <w:ilvl w:val="0"/>
                <w:numId w:val="25"/>
              </w:numPr>
              <w:tabs>
                <w:tab w:val="clear" w:pos="1080"/>
                <w:tab w:val="num" w:pos="0"/>
                <w:tab w:val="left" w:pos="468"/>
              </w:tabs>
              <w:spacing w:after="120" w:line="276" w:lineRule="auto"/>
              <w:ind w:left="1077" w:hanging="1077"/>
              <w:jc w:val="both"/>
              <w:rPr>
                <w:rFonts w:ascii="Arial" w:hAnsi="Arial"/>
                <w:b/>
                <w:bCs/>
              </w:rPr>
            </w:pPr>
            <w:r w:rsidRPr="00421F82">
              <w:rPr>
                <w:rFonts w:ascii="Arial" w:hAnsi="Arial"/>
                <w:b/>
                <w:bCs/>
              </w:rPr>
              <w:lastRenderedPageBreak/>
              <w:t>EXTENT OF INDIGENT SUPPORT</w:t>
            </w:r>
          </w:p>
          <w:p w:rsidR="00123D4D" w:rsidRPr="00421F82" w:rsidRDefault="00123D4D" w:rsidP="0012483E">
            <w:pPr>
              <w:numPr>
                <w:ilvl w:val="1"/>
                <w:numId w:val="24"/>
              </w:numPr>
              <w:tabs>
                <w:tab w:val="clear" w:pos="720"/>
                <w:tab w:val="num" w:pos="468"/>
              </w:tabs>
              <w:spacing w:line="276" w:lineRule="auto"/>
              <w:ind w:left="468" w:hanging="468"/>
              <w:jc w:val="both"/>
              <w:rPr>
                <w:rFonts w:ascii="Arial" w:hAnsi="Arial"/>
              </w:rPr>
            </w:pPr>
            <w:r w:rsidRPr="00421F82">
              <w:rPr>
                <w:rFonts w:ascii="Arial" w:hAnsi="Arial"/>
              </w:rPr>
              <w:t>The subsidies on rates and the specified service charges will be determined as part of each annual budget and in terms of the municipality’s policies on property rates and tariffs.</w:t>
            </w:r>
          </w:p>
          <w:p w:rsidR="00123D4D" w:rsidRPr="00421F82" w:rsidRDefault="00123D4D" w:rsidP="00123D4D">
            <w:pPr>
              <w:tabs>
                <w:tab w:val="num" w:pos="1440"/>
              </w:tabs>
              <w:spacing w:line="276" w:lineRule="auto"/>
              <w:jc w:val="both"/>
              <w:rPr>
                <w:rFonts w:ascii="Arial" w:hAnsi="Arial"/>
              </w:rPr>
            </w:pPr>
          </w:p>
          <w:p w:rsidR="00123D4D" w:rsidRDefault="00123D4D" w:rsidP="0012483E">
            <w:pPr>
              <w:numPr>
                <w:ilvl w:val="1"/>
                <w:numId w:val="24"/>
              </w:numPr>
              <w:tabs>
                <w:tab w:val="clear" w:pos="720"/>
                <w:tab w:val="num" w:pos="468"/>
              </w:tabs>
              <w:spacing w:before="120" w:line="276" w:lineRule="auto"/>
              <w:ind w:left="471" w:hanging="471"/>
              <w:jc w:val="both"/>
              <w:rPr>
                <w:rFonts w:ascii="Arial" w:hAnsi="Arial"/>
              </w:rPr>
            </w:pPr>
            <w:r w:rsidRPr="00421F82">
              <w:rPr>
                <w:rFonts w:ascii="Arial" w:hAnsi="Arial"/>
              </w:rPr>
              <w:t>The source of funding of the indigent</w:t>
            </w:r>
            <w:r>
              <w:rPr>
                <w:rFonts w:ascii="Arial" w:hAnsi="Arial"/>
              </w:rPr>
              <w:t xml:space="preserve"> </w:t>
            </w:r>
            <w:r w:rsidRPr="00CD726B">
              <w:rPr>
                <w:rFonts w:ascii="Arial" w:hAnsi="Arial"/>
              </w:rPr>
              <w:t>subsidy, is that portion of the equitable</w:t>
            </w:r>
          </w:p>
          <w:p w:rsidR="00123D4D" w:rsidRDefault="00123D4D" w:rsidP="00123D4D">
            <w:pPr>
              <w:pStyle w:val="ListParagraph"/>
              <w:rPr>
                <w:rFonts w:ascii="Arial" w:hAnsi="Arial"/>
              </w:rPr>
            </w:pPr>
          </w:p>
          <w:p w:rsidR="00123D4D" w:rsidRPr="00123D4D" w:rsidRDefault="00123D4D" w:rsidP="00123D4D">
            <w:pPr>
              <w:spacing w:before="120" w:line="276" w:lineRule="auto"/>
              <w:ind w:left="471"/>
              <w:jc w:val="both"/>
              <w:rPr>
                <w:rFonts w:ascii="Arial" w:hAnsi="Arial"/>
                <w:strike/>
              </w:rPr>
            </w:pPr>
            <w:proofErr w:type="gramStart"/>
            <w:r w:rsidRPr="00CD726B">
              <w:rPr>
                <w:rFonts w:ascii="Arial" w:hAnsi="Arial"/>
              </w:rPr>
              <w:t>share</w:t>
            </w:r>
            <w:proofErr w:type="gramEnd"/>
            <w:r w:rsidRPr="00CD726B">
              <w:rPr>
                <w:rFonts w:ascii="Arial" w:hAnsi="Arial"/>
              </w:rPr>
              <w:t xml:space="preserve"> contribution towards the municipality, made from the National Government’s </w:t>
            </w:r>
            <w:proofErr w:type="spellStart"/>
            <w:r w:rsidRPr="00CD726B">
              <w:rPr>
                <w:rFonts w:ascii="Arial" w:hAnsi="Arial"/>
              </w:rPr>
              <w:t>Fiscus</w:t>
            </w:r>
            <w:proofErr w:type="spellEnd"/>
            <w:r w:rsidRPr="00CD726B">
              <w:rPr>
                <w:rFonts w:ascii="Arial" w:hAnsi="Arial"/>
              </w:rPr>
              <w:t xml:space="preserve"> and as provided for in the budget.  </w:t>
            </w:r>
            <w:r w:rsidRPr="00123D4D">
              <w:rPr>
                <w:rFonts w:ascii="Arial" w:hAnsi="Arial"/>
                <w:strike/>
              </w:rPr>
              <w:t xml:space="preserve">As such, the subsidy can only be credited to the qualifying </w:t>
            </w:r>
            <w:r w:rsidRPr="00123D4D">
              <w:rPr>
                <w:rFonts w:ascii="Arial" w:hAnsi="Arial"/>
                <w:strike/>
              </w:rPr>
              <w:lastRenderedPageBreak/>
              <w:t>customer’s accounts until the amount received by the Municipality from National Government for this purpose has been exhausted, whereupon no further credits will be made, or the level of the credits reduced, until further national funds are received.</w:t>
            </w:r>
          </w:p>
          <w:p w:rsidR="00123D4D" w:rsidRPr="00421F82" w:rsidRDefault="00123D4D" w:rsidP="00123D4D">
            <w:pPr>
              <w:spacing w:line="276" w:lineRule="auto"/>
              <w:jc w:val="both"/>
              <w:rPr>
                <w:rFonts w:ascii="Arial" w:hAnsi="Arial"/>
              </w:rPr>
            </w:pPr>
          </w:p>
          <w:p w:rsidR="00123D4D" w:rsidRPr="00421F82" w:rsidRDefault="00123D4D" w:rsidP="00123D4D">
            <w:pPr>
              <w:spacing w:line="276" w:lineRule="auto"/>
              <w:jc w:val="both"/>
              <w:rPr>
                <w:rFonts w:ascii="Arial" w:hAnsi="Arial"/>
              </w:rPr>
            </w:pPr>
          </w:p>
          <w:p w:rsidR="00BC1901" w:rsidRPr="00F73170" w:rsidRDefault="00123D4D" w:rsidP="00123D4D">
            <w:pPr>
              <w:tabs>
                <w:tab w:val="left" w:pos="1168"/>
              </w:tabs>
              <w:spacing w:before="60" w:after="60"/>
              <w:ind w:left="1026" w:hanging="425"/>
              <w:jc w:val="both"/>
              <w:rPr>
                <w:i/>
                <w:sz w:val="24"/>
                <w:szCs w:val="24"/>
              </w:rPr>
            </w:pPr>
            <w:r w:rsidRPr="00421F82">
              <w:rPr>
                <w:rFonts w:ascii="Arial" w:hAnsi="Arial"/>
              </w:rPr>
              <w:t xml:space="preserve">In respect of water, a 100% subsidy up to 6kl per household per month will apply.  In respect of electricity, a 100% subsidy up to </w:t>
            </w:r>
            <w:r w:rsidRPr="00123D4D">
              <w:rPr>
                <w:rFonts w:ascii="Arial" w:hAnsi="Arial"/>
                <w:i/>
              </w:rPr>
              <w:t>50</w:t>
            </w:r>
            <w:r w:rsidRPr="00421F82">
              <w:rPr>
                <w:rFonts w:ascii="Arial" w:hAnsi="Arial"/>
              </w:rPr>
              <w:t>kwh per month will apply.  If consumption exceeds any of the above per metering period (month), the consumer will be charged at normal tariffs for actual consumption on the quantity exceeding the above mentioned limits</w:t>
            </w:r>
          </w:p>
        </w:tc>
      </w:tr>
      <w:tr w:rsidR="00BC1901" w:rsidTr="00F41195">
        <w:tc>
          <w:tcPr>
            <w:tcW w:w="4786" w:type="dxa"/>
            <w:tcBorders>
              <w:top w:val="nil"/>
              <w:bottom w:val="nil"/>
            </w:tcBorders>
          </w:tcPr>
          <w:p w:rsidR="00123D4D" w:rsidRPr="00620CD5" w:rsidRDefault="00123D4D" w:rsidP="0012483E">
            <w:pPr>
              <w:numPr>
                <w:ilvl w:val="0"/>
                <w:numId w:val="27"/>
              </w:numPr>
              <w:spacing w:after="120" w:line="276" w:lineRule="auto"/>
              <w:jc w:val="both"/>
              <w:rPr>
                <w:rFonts w:ascii="Arial" w:hAnsi="Arial"/>
                <w:b/>
                <w:bCs/>
              </w:rPr>
            </w:pPr>
            <w:r w:rsidRPr="00421F82">
              <w:rPr>
                <w:rFonts w:ascii="Arial" w:hAnsi="Arial"/>
                <w:b/>
                <w:bCs/>
              </w:rPr>
              <w:lastRenderedPageBreak/>
              <w:t>CRITERIA FOR QUALIFICATION</w:t>
            </w:r>
          </w:p>
          <w:p w:rsidR="00123D4D" w:rsidRPr="00421F82" w:rsidRDefault="00123D4D" w:rsidP="00123D4D">
            <w:pPr>
              <w:spacing w:line="276" w:lineRule="auto"/>
              <w:ind w:left="468"/>
              <w:jc w:val="both"/>
              <w:rPr>
                <w:rFonts w:ascii="Arial" w:hAnsi="Arial"/>
              </w:rPr>
            </w:pPr>
            <w:r w:rsidRPr="00421F82">
              <w:rPr>
                <w:rFonts w:ascii="Arial" w:hAnsi="Arial"/>
              </w:rPr>
              <w:t>In order to qualify for indigent support the following criteria must be met:</w:t>
            </w:r>
          </w:p>
          <w:p w:rsidR="00123D4D" w:rsidRPr="00421F82" w:rsidRDefault="00123D4D" w:rsidP="00123D4D">
            <w:pPr>
              <w:spacing w:line="276" w:lineRule="auto"/>
              <w:jc w:val="both"/>
              <w:rPr>
                <w:rFonts w:ascii="Arial" w:hAnsi="Arial"/>
              </w:rPr>
            </w:pPr>
          </w:p>
          <w:p w:rsidR="00123D4D" w:rsidRPr="00421F82" w:rsidRDefault="00123D4D" w:rsidP="00123D4D">
            <w:pPr>
              <w:spacing w:line="276" w:lineRule="auto"/>
              <w:jc w:val="both"/>
              <w:rPr>
                <w:rFonts w:ascii="Arial" w:hAnsi="Arial"/>
              </w:rPr>
            </w:pPr>
          </w:p>
          <w:p w:rsidR="00123D4D" w:rsidRPr="00421F82" w:rsidRDefault="00123D4D" w:rsidP="0012483E">
            <w:pPr>
              <w:numPr>
                <w:ilvl w:val="1"/>
                <w:numId w:val="26"/>
              </w:numPr>
              <w:tabs>
                <w:tab w:val="clear" w:pos="720"/>
                <w:tab w:val="num" w:pos="468"/>
              </w:tabs>
              <w:spacing w:line="276" w:lineRule="auto"/>
              <w:ind w:left="468" w:hanging="468"/>
              <w:jc w:val="both"/>
              <w:rPr>
                <w:rFonts w:ascii="Arial" w:hAnsi="Arial"/>
              </w:rPr>
            </w:pPr>
            <w:r w:rsidRPr="00421F82">
              <w:rPr>
                <w:rFonts w:ascii="Arial" w:hAnsi="Arial"/>
              </w:rPr>
              <w:t>Households where the verified total gross monthly income of owners/tenants does not exceed the level as determined in Council’s tariff policy from time to time, qualify for a subsidy.  Only the boarding amount of children/</w:t>
            </w:r>
            <w:r>
              <w:rPr>
                <w:rFonts w:ascii="Arial" w:hAnsi="Arial"/>
              </w:rPr>
              <w:t xml:space="preserve"> </w:t>
            </w:r>
            <w:r w:rsidRPr="00421F82">
              <w:rPr>
                <w:rFonts w:ascii="Arial" w:hAnsi="Arial"/>
              </w:rPr>
              <w:t>boarders/tenants who are employed, will be taken into account and not their total gross salary/income, when determining the total gross monthly income of a household.</w:t>
            </w:r>
          </w:p>
          <w:p w:rsidR="00BC1901" w:rsidRPr="00861F87" w:rsidRDefault="00BC1901" w:rsidP="00F41195">
            <w:pPr>
              <w:tabs>
                <w:tab w:val="left" w:pos="1134"/>
              </w:tabs>
              <w:spacing w:after="120" w:line="24" w:lineRule="atLeast"/>
              <w:jc w:val="both"/>
              <w:rPr>
                <w:rFonts w:ascii="Arial" w:hAnsi="Arial" w:cs="Arial"/>
                <w:dstrike/>
              </w:rPr>
            </w:pPr>
          </w:p>
        </w:tc>
        <w:tc>
          <w:tcPr>
            <w:tcW w:w="4762" w:type="dxa"/>
            <w:tcBorders>
              <w:top w:val="nil"/>
              <w:bottom w:val="nil"/>
            </w:tcBorders>
          </w:tcPr>
          <w:p w:rsidR="00123D4D" w:rsidRPr="00620CD5" w:rsidRDefault="00123D4D" w:rsidP="0012483E">
            <w:pPr>
              <w:numPr>
                <w:ilvl w:val="0"/>
                <w:numId w:val="28"/>
              </w:numPr>
              <w:spacing w:after="120" w:line="276" w:lineRule="auto"/>
              <w:jc w:val="both"/>
              <w:rPr>
                <w:rFonts w:ascii="Arial" w:hAnsi="Arial"/>
                <w:b/>
                <w:bCs/>
              </w:rPr>
            </w:pPr>
            <w:r w:rsidRPr="00421F82">
              <w:rPr>
                <w:rFonts w:ascii="Arial" w:hAnsi="Arial"/>
                <w:b/>
                <w:bCs/>
              </w:rPr>
              <w:t>CRITERIA FOR QUALIFICATION</w:t>
            </w:r>
          </w:p>
          <w:p w:rsidR="00123D4D" w:rsidRPr="00421F82" w:rsidRDefault="00123D4D" w:rsidP="00123D4D">
            <w:pPr>
              <w:spacing w:line="276" w:lineRule="auto"/>
              <w:ind w:left="468"/>
              <w:jc w:val="both"/>
              <w:rPr>
                <w:rFonts w:ascii="Arial" w:hAnsi="Arial"/>
              </w:rPr>
            </w:pPr>
            <w:r w:rsidRPr="00421F82">
              <w:rPr>
                <w:rFonts w:ascii="Arial" w:hAnsi="Arial"/>
              </w:rPr>
              <w:t>In order to qualify for indigent support the following criteria must be met:</w:t>
            </w:r>
          </w:p>
          <w:p w:rsidR="00123D4D" w:rsidRPr="00421F82" w:rsidRDefault="00123D4D" w:rsidP="00123D4D">
            <w:pPr>
              <w:spacing w:line="276" w:lineRule="auto"/>
              <w:jc w:val="both"/>
              <w:rPr>
                <w:rFonts w:ascii="Arial" w:hAnsi="Arial"/>
              </w:rPr>
            </w:pPr>
          </w:p>
          <w:p w:rsidR="00123D4D" w:rsidRPr="00421F82" w:rsidRDefault="00123D4D" w:rsidP="00123D4D">
            <w:pPr>
              <w:spacing w:line="276" w:lineRule="auto"/>
              <w:jc w:val="both"/>
              <w:rPr>
                <w:rFonts w:ascii="Arial" w:hAnsi="Arial"/>
              </w:rPr>
            </w:pPr>
          </w:p>
          <w:p w:rsidR="00123D4D" w:rsidRPr="00421F82" w:rsidRDefault="00123D4D" w:rsidP="0012483E">
            <w:pPr>
              <w:numPr>
                <w:ilvl w:val="1"/>
                <w:numId w:val="26"/>
              </w:numPr>
              <w:tabs>
                <w:tab w:val="clear" w:pos="720"/>
                <w:tab w:val="num" w:pos="468"/>
              </w:tabs>
              <w:spacing w:line="276" w:lineRule="auto"/>
              <w:ind w:left="468" w:hanging="468"/>
              <w:jc w:val="both"/>
              <w:rPr>
                <w:rFonts w:ascii="Arial" w:hAnsi="Arial"/>
              </w:rPr>
            </w:pPr>
            <w:r w:rsidRPr="00421F82">
              <w:rPr>
                <w:rFonts w:ascii="Arial" w:hAnsi="Arial"/>
              </w:rPr>
              <w:t>Households where the verified total gross monthly income of owners/tenants does not exceed the level as determined in Council’s tariff</w:t>
            </w:r>
            <w:r>
              <w:rPr>
                <w:rFonts w:ascii="Arial" w:hAnsi="Arial"/>
              </w:rPr>
              <w:t>s</w:t>
            </w:r>
            <w:r w:rsidRPr="00421F82">
              <w:rPr>
                <w:rFonts w:ascii="Arial" w:hAnsi="Arial"/>
              </w:rPr>
              <w:t xml:space="preserve"> </w:t>
            </w:r>
            <w:r w:rsidRPr="00123D4D">
              <w:rPr>
                <w:rFonts w:ascii="Arial" w:hAnsi="Arial"/>
                <w:strike/>
              </w:rPr>
              <w:t>policy</w:t>
            </w:r>
            <w:r w:rsidRPr="00421F82">
              <w:rPr>
                <w:rFonts w:ascii="Arial" w:hAnsi="Arial"/>
              </w:rPr>
              <w:t xml:space="preserve"> from time to time, qualify for a subsidy.  Only the boarding amount of children/</w:t>
            </w:r>
            <w:r>
              <w:rPr>
                <w:rFonts w:ascii="Arial" w:hAnsi="Arial"/>
              </w:rPr>
              <w:t xml:space="preserve"> </w:t>
            </w:r>
            <w:r w:rsidRPr="00421F82">
              <w:rPr>
                <w:rFonts w:ascii="Arial" w:hAnsi="Arial"/>
              </w:rPr>
              <w:t>boarders/tenants who are employed, will be taken into account and not their total gross salary/income, when determining the total gross monthly income of a household.</w:t>
            </w:r>
          </w:p>
          <w:p w:rsidR="00BC1901" w:rsidRPr="00B41218" w:rsidRDefault="00BC1901" w:rsidP="00F41195">
            <w:pPr>
              <w:tabs>
                <w:tab w:val="left" w:pos="426"/>
              </w:tabs>
              <w:spacing w:line="24" w:lineRule="atLeast"/>
              <w:rPr>
                <w:rFonts w:ascii="Arial" w:hAnsi="Arial" w:cs="Arial"/>
              </w:rPr>
            </w:pPr>
          </w:p>
        </w:tc>
      </w:tr>
      <w:tr w:rsidR="00BC1901" w:rsidTr="00F41195">
        <w:tc>
          <w:tcPr>
            <w:tcW w:w="4786" w:type="dxa"/>
            <w:tcBorders>
              <w:top w:val="nil"/>
              <w:bottom w:val="nil"/>
            </w:tcBorders>
          </w:tcPr>
          <w:p w:rsidR="00BC1901" w:rsidRPr="00861F87" w:rsidRDefault="00BC1901" w:rsidP="00F41195">
            <w:pPr>
              <w:tabs>
                <w:tab w:val="left" w:pos="1134"/>
              </w:tabs>
              <w:spacing w:after="120" w:line="24" w:lineRule="atLeast"/>
              <w:jc w:val="both"/>
              <w:rPr>
                <w:rFonts w:ascii="Arial" w:hAnsi="Arial" w:cs="Arial"/>
                <w:dstrike/>
              </w:rPr>
            </w:pPr>
          </w:p>
        </w:tc>
        <w:tc>
          <w:tcPr>
            <w:tcW w:w="4762" w:type="dxa"/>
            <w:tcBorders>
              <w:top w:val="nil"/>
              <w:bottom w:val="nil"/>
            </w:tcBorders>
          </w:tcPr>
          <w:p w:rsidR="00BC1901" w:rsidRPr="00BE6C60" w:rsidRDefault="00BC1901" w:rsidP="00F41195">
            <w:pPr>
              <w:tabs>
                <w:tab w:val="left" w:pos="426"/>
              </w:tabs>
              <w:spacing w:line="24" w:lineRule="atLeast"/>
              <w:rPr>
                <w:rFonts w:ascii="Arial" w:hAnsi="Arial" w:cs="Arial"/>
                <w:i/>
              </w:rPr>
            </w:pPr>
          </w:p>
        </w:tc>
      </w:tr>
      <w:tr w:rsidR="00BC1901" w:rsidTr="00F41195">
        <w:tc>
          <w:tcPr>
            <w:tcW w:w="4786" w:type="dxa"/>
            <w:tcBorders>
              <w:top w:val="nil"/>
              <w:bottom w:val="single" w:sz="4" w:space="0" w:color="auto"/>
            </w:tcBorders>
          </w:tcPr>
          <w:p w:rsidR="00BC1901" w:rsidRPr="00861F87" w:rsidRDefault="00BC1901" w:rsidP="00F41195">
            <w:pPr>
              <w:tabs>
                <w:tab w:val="left" w:pos="1134"/>
              </w:tabs>
              <w:spacing w:after="120" w:line="24" w:lineRule="atLeast"/>
              <w:jc w:val="both"/>
              <w:rPr>
                <w:rFonts w:ascii="Arial" w:hAnsi="Arial" w:cs="Arial"/>
                <w:dstrike/>
              </w:rPr>
            </w:pPr>
          </w:p>
        </w:tc>
        <w:tc>
          <w:tcPr>
            <w:tcW w:w="4762" w:type="dxa"/>
            <w:tcBorders>
              <w:top w:val="nil"/>
              <w:bottom w:val="single" w:sz="4" w:space="0" w:color="auto"/>
            </w:tcBorders>
          </w:tcPr>
          <w:p w:rsidR="00BC1901" w:rsidRPr="00B41218" w:rsidRDefault="00BC1901" w:rsidP="00F41195">
            <w:pPr>
              <w:tabs>
                <w:tab w:val="left" w:pos="426"/>
              </w:tabs>
              <w:spacing w:line="24" w:lineRule="atLeast"/>
              <w:rPr>
                <w:rFonts w:ascii="Arial" w:hAnsi="Arial" w:cs="Arial"/>
              </w:rPr>
            </w:pPr>
          </w:p>
        </w:tc>
      </w:tr>
    </w:tbl>
    <w:p w:rsidR="0012483E" w:rsidRDefault="0012483E" w:rsidP="00BC1901">
      <w:pPr>
        <w:spacing w:after="0" w:line="24" w:lineRule="atLeast"/>
        <w:ind w:left="540" w:hanging="540"/>
        <w:rPr>
          <w:sz w:val="24"/>
          <w:lang w:val="af-ZA"/>
        </w:rPr>
      </w:pPr>
    </w:p>
    <w:p w:rsidR="0012483E" w:rsidRDefault="0012483E">
      <w:pPr>
        <w:rPr>
          <w:sz w:val="24"/>
          <w:lang w:val="af-ZA"/>
        </w:rPr>
      </w:pPr>
      <w:r>
        <w:rPr>
          <w:sz w:val="24"/>
          <w:lang w:val="af-ZA"/>
        </w:rPr>
        <w:br w:type="page"/>
      </w:r>
    </w:p>
    <w:p w:rsidR="00BC1901" w:rsidRDefault="00BC1901" w:rsidP="00BC1901">
      <w:pPr>
        <w:spacing w:after="0" w:line="24" w:lineRule="atLeast"/>
        <w:ind w:left="540" w:hanging="540"/>
        <w:rPr>
          <w:sz w:val="24"/>
          <w:lang w:val="af-ZA"/>
        </w:rPr>
      </w:pPr>
    </w:p>
    <w:p w:rsidR="00CA056E" w:rsidRDefault="0012483E" w:rsidP="00D05ED2">
      <w:pPr>
        <w:spacing w:after="0" w:line="24" w:lineRule="atLeast"/>
        <w:ind w:left="540" w:hanging="540"/>
        <w:rPr>
          <w:b/>
          <w:sz w:val="24"/>
          <w:lang w:val="af-ZA"/>
        </w:rPr>
      </w:pPr>
      <w:r>
        <w:rPr>
          <w:b/>
          <w:sz w:val="24"/>
          <w:lang w:val="af-ZA"/>
        </w:rPr>
        <w:t>BUDGET POLICY</w:t>
      </w:r>
    </w:p>
    <w:p w:rsidR="0012483E" w:rsidRDefault="0012483E" w:rsidP="00D05ED2">
      <w:pPr>
        <w:spacing w:after="0" w:line="24" w:lineRule="atLeast"/>
        <w:ind w:left="540" w:hanging="540"/>
        <w:rPr>
          <w:b/>
          <w:sz w:val="24"/>
          <w:lang w:val="af-ZA"/>
        </w:rPr>
      </w:pPr>
    </w:p>
    <w:p w:rsidR="0012483E" w:rsidRPr="0012483E" w:rsidRDefault="0012483E" w:rsidP="00D05ED2">
      <w:pPr>
        <w:spacing w:after="0" w:line="24" w:lineRule="atLeast"/>
        <w:ind w:left="540" w:hanging="540"/>
        <w:rPr>
          <w:i/>
          <w:sz w:val="24"/>
          <w:lang w:val="af-ZA"/>
        </w:rPr>
      </w:pPr>
      <w:r w:rsidRPr="0012483E">
        <w:rPr>
          <w:i/>
          <w:sz w:val="24"/>
          <w:lang w:val="af-ZA"/>
        </w:rPr>
        <w:t>Only new sections inserted no old sections revised</w:t>
      </w:r>
    </w:p>
    <w:p w:rsidR="0012483E" w:rsidRDefault="0012483E" w:rsidP="00D05ED2">
      <w:pPr>
        <w:spacing w:after="0" w:line="24" w:lineRule="atLeast"/>
        <w:ind w:left="540" w:hanging="540"/>
        <w:rPr>
          <w:sz w:val="24"/>
          <w:lang w:val="af-ZA"/>
        </w:rPr>
      </w:pPr>
    </w:p>
    <w:p w:rsidR="0012483E" w:rsidRDefault="0012483E" w:rsidP="0012483E">
      <w:pPr>
        <w:pStyle w:val="BodyText"/>
        <w:spacing w:after="0"/>
        <w:ind w:left="567" w:hanging="567"/>
        <w:jc w:val="both"/>
        <w:rPr>
          <w:rFonts w:ascii="Arial" w:hAnsi="Arial" w:cs="Arial"/>
          <w:sz w:val="22"/>
          <w:szCs w:val="22"/>
          <w:lang w:val="en-ZA"/>
        </w:rPr>
      </w:pPr>
    </w:p>
    <w:p w:rsidR="0012483E" w:rsidRPr="00783B99" w:rsidRDefault="0012483E" w:rsidP="0012483E">
      <w:pPr>
        <w:autoSpaceDE w:val="0"/>
        <w:autoSpaceDN w:val="0"/>
        <w:adjustRightInd w:val="0"/>
        <w:ind w:left="567" w:hanging="567"/>
        <w:rPr>
          <w:rFonts w:ascii="Arial" w:hAnsi="Arial" w:cs="Arial"/>
          <w:b/>
          <w:caps/>
          <w:color w:val="292526"/>
        </w:rPr>
      </w:pPr>
      <w:r>
        <w:rPr>
          <w:rFonts w:ascii="Arial" w:hAnsi="Arial" w:cs="Arial"/>
          <w:b/>
          <w:caps/>
          <w:color w:val="292526"/>
        </w:rPr>
        <w:t>6</w:t>
      </w:r>
      <w:r w:rsidRPr="00783B99">
        <w:rPr>
          <w:rFonts w:ascii="Arial" w:hAnsi="Arial" w:cs="Arial"/>
          <w:b/>
          <w:caps/>
          <w:color w:val="292526"/>
        </w:rPr>
        <w:t>.</w:t>
      </w:r>
      <w:r>
        <w:rPr>
          <w:rFonts w:ascii="Arial" w:hAnsi="Arial" w:cs="Arial"/>
          <w:b/>
          <w:caps/>
          <w:color w:val="292526"/>
        </w:rPr>
        <w:t>1</w:t>
      </w:r>
      <w:r w:rsidRPr="00783B99">
        <w:rPr>
          <w:rFonts w:ascii="Arial" w:hAnsi="Arial" w:cs="Arial"/>
          <w:b/>
          <w:caps/>
          <w:color w:val="292526"/>
        </w:rPr>
        <w:tab/>
        <w:t>BUDGET TRANSFERS AND VIREMENTS</w:t>
      </w:r>
    </w:p>
    <w:p w:rsidR="0012483E" w:rsidRPr="00783B99" w:rsidRDefault="0012483E" w:rsidP="0012483E">
      <w:pPr>
        <w:jc w:val="both"/>
        <w:rPr>
          <w:rFonts w:ascii="Arial" w:hAnsi="Arial" w:cs="Arial"/>
        </w:rPr>
      </w:pPr>
      <w:r>
        <w:rPr>
          <w:rFonts w:ascii="Arial" w:hAnsi="Arial" w:cs="Arial"/>
        </w:rPr>
        <w:t>The municipality does not allow b</w:t>
      </w:r>
      <w:r w:rsidRPr="00783B99">
        <w:rPr>
          <w:rFonts w:ascii="Arial" w:hAnsi="Arial" w:cs="Arial"/>
        </w:rPr>
        <w:t>udget transfers within the same vote</w:t>
      </w:r>
      <w:r>
        <w:rPr>
          <w:rFonts w:ascii="Arial" w:hAnsi="Arial" w:cs="Arial"/>
        </w:rPr>
        <w:t>. Any changes shall be made using the adjustment budget process.</w:t>
      </w:r>
    </w:p>
    <w:p w:rsidR="0012483E" w:rsidRPr="00783B99" w:rsidRDefault="0012483E" w:rsidP="0012483E">
      <w:pPr>
        <w:widowControl w:val="0"/>
        <w:spacing w:line="200" w:lineRule="exact"/>
        <w:rPr>
          <w:rFonts w:ascii="Calibri" w:eastAsia="Calibri" w:hAnsi="Calibri"/>
          <w:sz w:val="20"/>
          <w:szCs w:val="20"/>
          <w:lang w:val="en-US"/>
        </w:rPr>
      </w:pPr>
    </w:p>
    <w:p w:rsidR="0012483E" w:rsidRPr="00783B99" w:rsidRDefault="0012483E" w:rsidP="0012483E">
      <w:pPr>
        <w:autoSpaceDE w:val="0"/>
        <w:autoSpaceDN w:val="0"/>
        <w:adjustRightInd w:val="0"/>
        <w:ind w:left="567" w:hanging="567"/>
        <w:rPr>
          <w:rFonts w:ascii="Arial" w:hAnsi="Arial" w:cs="Arial"/>
          <w:b/>
          <w:caps/>
          <w:color w:val="292526"/>
        </w:rPr>
      </w:pPr>
      <w:r>
        <w:rPr>
          <w:rFonts w:ascii="Arial" w:hAnsi="Arial" w:cs="Arial"/>
          <w:b/>
          <w:caps/>
          <w:color w:val="292526"/>
        </w:rPr>
        <w:t>6.2</w:t>
      </w:r>
      <w:r w:rsidRPr="00783B99">
        <w:rPr>
          <w:rFonts w:ascii="Arial" w:hAnsi="Arial" w:cs="Arial"/>
          <w:b/>
          <w:caps/>
          <w:color w:val="292526"/>
        </w:rPr>
        <w:t>. FRAMEWORK FOR UNFORESEEN AND UNAVOIDABLE EXPENDITURE</w:t>
      </w:r>
    </w:p>
    <w:p w:rsidR="0012483E" w:rsidRPr="00783B99" w:rsidRDefault="0012483E" w:rsidP="0012483E">
      <w:pPr>
        <w:jc w:val="both"/>
        <w:rPr>
          <w:rFonts w:ascii="Arial" w:hAnsi="Arial" w:cs="Arial"/>
        </w:rPr>
      </w:pPr>
      <w:r w:rsidRPr="00783B99">
        <w:rPr>
          <w:rFonts w:ascii="Arial" w:hAnsi="Arial" w:cs="Arial"/>
        </w:rPr>
        <w:t>(a) The mayor of a municipality may authorize expenditure in terms of section 29 of the Act only if –</w:t>
      </w:r>
    </w:p>
    <w:p w:rsidR="0012483E" w:rsidRPr="00783B99" w:rsidRDefault="0012483E" w:rsidP="0012483E">
      <w:pPr>
        <w:jc w:val="both"/>
        <w:rPr>
          <w:rFonts w:ascii="Arial" w:hAnsi="Arial" w:cs="Arial"/>
        </w:rPr>
      </w:pPr>
      <w:proofErr w:type="gramStart"/>
      <w:r w:rsidRPr="00783B99">
        <w:rPr>
          <w:rFonts w:ascii="Arial" w:hAnsi="Arial" w:cs="Arial"/>
        </w:rPr>
        <w:t>a.  the</w:t>
      </w:r>
      <w:proofErr w:type="gramEnd"/>
      <w:r w:rsidRPr="00783B99">
        <w:rPr>
          <w:rFonts w:ascii="Arial" w:hAnsi="Arial" w:cs="Arial"/>
        </w:rPr>
        <w:t xml:space="preserve"> expenditure could not have been foreseen at the time the annual budget of the municipality was passed; and</w:t>
      </w:r>
    </w:p>
    <w:p w:rsidR="0012483E" w:rsidRPr="00783B99" w:rsidRDefault="0012483E" w:rsidP="0012483E">
      <w:pPr>
        <w:jc w:val="both"/>
        <w:rPr>
          <w:rFonts w:ascii="Arial" w:hAnsi="Arial" w:cs="Arial"/>
        </w:rPr>
      </w:pPr>
      <w:proofErr w:type="gramStart"/>
      <w:r w:rsidRPr="00783B99">
        <w:rPr>
          <w:rFonts w:ascii="Arial" w:hAnsi="Arial" w:cs="Arial"/>
        </w:rPr>
        <w:t>b.  the</w:t>
      </w:r>
      <w:proofErr w:type="gramEnd"/>
      <w:r w:rsidRPr="00783B99">
        <w:rPr>
          <w:rFonts w:ascii="Arial" w:hAnsi="Arial" w:cs="Arial"/>
        </w:rPr>
        <w:t xml:space="preserve"> delay that will be caused pending approval of an adjustments budget by the municipal council in terms of section 28(2)(c) of the Act to authorize the expenditure may –</w:t>
      </w:r>
    </w:p>
    <w:p w:rsidR="0012483E" w:rsidRPr="00783B99" w:rsidRDefault="0012483E" w:rsidP="0012483E">
      <w:pPr>
        <w:jc w:val="both"/>
        <w:rPr>
          <w:rFonts w:ascii="Arial" w:hAnsi="Arial" w:cs="Arial"/>
        </w:rPr>
      </w:pPr>
      <w:proofErr w:type="spellStart"/>
      <w:proofErr w:type="gramStart"/>
      <w:r w:rsidRPr="00783B99">
        <w:rPr>
          <w:rFonts w:ascii="Arial" w:hAnsi="Arial" w:cs="Arial"/>
        </w:rPr>
        <w:t>i</w:t>
      </w:r>
      <w:proofErr w:type="spellEnd"/>
      <w:r w:rsidRPr="00783B99">
        <w:rPr>
          <w:rFonts w:ascii="Arial" w:hAnsi="Arial" w:cs="Arial"/>
        </w:rPr>
        <w:t>.  result</w:t>
      </w:r>
      <w:proofErr w:type="gramEnd"/>
      <w:r w:rsidRPr="00783B99">
        <w:rPr>
          <w:rFonts w:ascii="Arial" w:hAnsi="Arial" w:cs="Arial"/>
        </w:rPr>
        <w:t xml:space="preserve"> in significant financial loss for the municipality;</w:t>
      </w:r>
    </w:p>
    <w:p w:rsidR="0012483E" w:rsidRPr="00783B99" w:rsidRDefault="0012483E" w:rsidP="0012483E">
      <w:pPr>
        <w:jc w:val="both"/>
        <w:rPr>
          <w:rFonts w:ascii="Arial" w:hAnsi="Arial" w:cs="Arial"/>
        </w:rPr>
      </w:pPr>
      <w:r w:rsidRPr="00783B99">
        <w:rPr>
          <w:rFonts w:ascii="Arial" w:hAnsi="Arial" w:cs="Arial"/>
        </w:rPr>
        <w:t>ii.  cause  a  disruption  or  suspension, or  a  serious  threat  to  the continuation, of a basic municipal service;</w:t>
      </w:r>
    </w:p>
    <w:p w:rsidR="0012483E" w:rsidRPr="00783B99" w:rsidRDefault="0012483E" w:rsidP="0012483E">
      <w:pPr>
        <w:jc w:val="both"/>
        <w:rPr>
          <w:rFonts w:ascii="Arial" w:hAnsi="Arial" w:cs="Arial"/>
        </w:rPr>
      </w:pPr>
      <w:r w:rsidRPr="00783B99">
        <w:rPr>
          <w:rFonts w:ascii="Arial" w:hAnsi="Arial" w:cs="Arial"/>
        </w:rPr>
        <w:t xml:space="preserve">iii. </w:t>
      </w:r>
      <w:proofErr w:type="gramStart"/>
      <w:r w:rsidRPr="00783B99">
        <w:rPr>
          <w:rFonts w:ascii="Arial" w:hAnsi="Arial" w:cs="Arial"/>
        </w:rPr>
        <w:t>lead</w:t>
      </w:r>
      <w:proofErr w:type="gramEnd"/>
      <w:r w:rsidRPr="00783B99">
        <w:rPr>
          <w:rFonts w:ascii="Arial" w:hAnsi="Arial" w:cs="Arial"/>
        </w:rPr>
        <w:t xml:space="preserve"> to loss of life or serious injury or significant damage to property; or</w:t>
      </w:r>
    </w:p>
    <w:p w:rsidR="0012483E" w:rsidRPr="00783B99" w:rsidRDefault="0012483E" w:rsidP="0012483E">
      <w:pPr>
        <w:jc w:val="both"/>
        <w:rPr>
          <w:rFonts w:ascii="Arial" w:hAnsi="Arial" w:cs="Arial"/>
        </w:rPr>
      </w:pPr>
      <w:r w:rsidRPr="00783B99">
        <w:rPr>
          <w:rFonts w:ascii="Arial" w:hAnsi="Arial" w:cs="Arial"/>
        </w:rPr>
        <w:t xml:space="preserve">iv. </w:t>
      </w:r>
      <w:proofErr w:type="gramStart"/>
      <w:r w:rsidRPr="00783B99">
        <w:rPr>
          <w:rFonts w:ascii="Arial" w:hAnsi="Arial" w:cs="Arial"/>
        </w:rPr>
        <w:t>obstruct</w:t>
      </w:r>
      <w:proofErr w:type="gramEnd"/>
      <w:r w:rsidRPr="00783B99">
        <w:rPr>
          <w:rFonts w:ascii="Arial" w:hAnsi="Arial" w:cs="Arial"/>
        </w:rPr>
        <w:t xml:space="preserve"> the municipality from instituting or defending legal proceedings on an urgent basis.</w:t>
      </w:r>
    </w:p>
    <w:p w:rsidR="0012483E" w:rsidRPr="00783B99" w:rsidRDefault="0012483E" w:rsidP="0012483E">
      <w:pPr>
        <w:jc w:val="both"/>
        <w:rPr>
          <w:rFonts w:ascii="Arial" w:hAnsi="Arial" w:cs="Arial"/>
        </w:rPr>
      </w:pPr>
      <w:r w:rsidRPr="00783B99">
        <w:rPr>
          <w:rFonts w:ascii="Arial" w:hAnsi="Arial" w:cs="Arial"/>
        </w:rPr>
        <w:t>(b) The mayor of a municipality may not authorize expenditure in terms of section</w:t>
      </w:r>
    </w:p>
    <w:p w:rsidR="0012483E" w:rsidRPr="00783B99" w:rsidRDefault="0012483E" w:rsidP="0012483E">
      <w:pPr>
        <w:jc w:val="both"/>
        <w:rPr>
          <w:rFonts w:ascii="Arial" w:hAnsi="Arial" w:cs="Arial"/>
        </w:rPr>
      </w:pPr>
      <w:r w:rsidRPr="00783B99">
        <w:rPr>
          <w:rFonts w:ascii="Arial" w:hAnsi="Arial" w:cs="Arial"/>
        </w:rPr>
        <w:t>29 of the Act if the expenditure –</w:t>
      </w:r>
    </w:p>
    <w:p w:rsidR="0012483E" w:rsidRPr="00783B99" w:rsidRDefault="0012483E" w:rsidP="0012483E">
      <w:pPr>
        <w:jc w:val="both"/>
        <w:rPr>
          <w:rFonts w:ascii="Arial" w:hAnsi="Arial" w:cs="Arial"/>
        </w:rPr>
      </w:pPr>
      <w:proofErr w:type="gramStart"/>
      <w:r w:rsidRPr="00783B99">
        <w:rPr>
          <w:rFonts w:ascii="Arial" w:hAnsi="Arial" w:cs="Arial"/>
        </w:rPr>
        <w:t>a.  was</w:t>
      </w:r>
      <w:proofErr w:type="gramEnd"/>
      <w:r w:rsidRPr="00783B99">
        <w:rPr>
          <w:rFonts w:ascii="Arial" w:hAnsi="Arial" w:cs="Arial"/>
        </w:rPr>
        <w:t xml:space="preserve"> considered by the council, but not approved in the annual budget or an adjustments budget;</w:t>
      </w:r>
    </w:p>
    <w:p w:rsidR="0012483E" w:rsidRPr="00783B99" w:rsidRDefault="0012483E" w:rsidP="0012483E">
      <w:pPr>
        <w:jc w:val="both"/>
        <w:rPr>
          <w:rFonts w:ascii="Arial" w:hAnsi="Arial" w:cs="Arial"/>
        </w:rPr>
      </w:pPr>
      <w:proofErr w:type="gramStart"/>
      <w:r w:rsidRPr="00783B99">
        <w:rPr>
          <w:rFonts w:ascii="Arial" w:hAnsi="Arial" w:cs="Arial"/>
        </w:rPr>
        <w:t>b.  is</w:t>
      </w:r>
      <w:proofErr w:type="gramEnd"/>
      <w:r w:rsidRPr="00783B99">
        <w:rPr>
          <w:rFonts w:ascii="Arial" w:hAnsi="Arial" w:cs="Arial"/>
        </w:rPr>
        <w:t xml:space="preserve"> required for –</w:t>
      </w:r>
    </w:p>
    <w:p w:rsidR="0012483E" w:rsidRPr="00783B99" w:rsidRDefault="0012483E" w:rsidP="0012483E">
      <w:pPr>
        <w:jc w:val="both"/>
        <w:rPr>
          <w:rFonts w:ascii="Arial" w:hAnsi="Arial" w:cs="Arial"/>
        </w:rPr>
      </w:pPr>
      <w:proofErr w:type="spellStart"/>
      <w:proofErr w:type="gramStart"/>
      <w:r w:rsidRPr="00783B99">
        <w:rPr>
          <w:rFonts w:ascii="Arial" w:hAnsi="Arial" w:cs="Arial"/>
        </w:rPr>
        <w:t>i</w:t>
      </w:r>
      <w:proofErr w:type="spellEnd"/>
      <w:r w:rsidRPr="00783B99">
        <w:rPr>
          <w:rFonts w:ascii="Arial" w:hAnsi="Arial" w:cs="Arial"/>
        </w:rPr>
        <w:t>.  price</w:t>
      </w:r>
      <w:proofErr w:type="gramEnd"/>
      <w:r w:rsidRPr="00783B99">
        <w:rPr>
          <w:rFonts w:ascii="Arial" w:hAnsi="Arial" w:cs="Arial"/>
        </w:rPr>
        <w:t xml:space="preserve"> increases of goods or services during the financial year;</w:t>
      </w:r>
    </w:p>
    <w:p w:rsidR="0012483E" w:rsidRPr="00783B99" w:rsidRDefault="0012483E" w:rsidP="0012483E">
      <w:pPr>
        <w:jc w:val="both"/>
        <w:rPr>
          <w:rFonts w:ascii="Arial" w:hAnsi="Arial" w:cs="Arial"/>
        </w:rPr>
      </w:pPr>
      <w:r w:rsidRPr="00783B99">
        <w:rPr>
          <w:rFonts w:ascii="Arial" w:hAnsi="Arial" w:cs="Arial"/>
        </w:rPr>
        <w:t>ii</w:t>
      </w:r>
      <w:proofErr w:type="gramStart"/>
      <w:r w:rsidRPr="00783B99">
        <w:rPr>
          <w:rFonts w:ascii="Arial" w:hAnsi="Arial" w:cs="Arial"/>
        </w:rPr>
        <w:t>.  new</w:t>
      </w:r>
      <w:proofErr w:type="gramEnd"/>
      <w:r w:rsidRPr="00783B99">
        <w:rPr>
          <w:rFonts w:ascii="Arial" w:hAnsi="Arial" w:cs="Arial"/>
        </w:rPr>
        <w:t xml:space="preserve"> municipal services or functions during the financial year;</w:t>
      </w:r>
    </w:p>
    <w:p w:rsidR="0012483E" w:rsidRPr="00783B99" w:rsidRDefault="0012483E" w:rsidP="0012483E">
      <w:pPr>
        <w:jc w:val="both"/>
        <w:rPr>
          <w:rFonts w:ascii="Arial" w:hAnsi="Arial" w:cs="Arial"/>
        </w:rPr>
      </w:pPr>
      <w:r w:rsidRPr="00783B99">
        <w:rPr>
          <w:rFonts w:ascii="Arial" w:hAnsi="Arial" w:cs="Arial"/>
        </w:rPr>
        <w:t>iii</w:t>
      </w:r>
      <w:proofErr w:type="gramStart"/>
      <w:r w:rsidRPr="00783B99">
        <w:rPr>
          <w:rFonts w:ascii="Arial" w:hAnsi="Arial" w:cs="Arial"/>
        </w:rPr>
        <w:t>.  the</w:t>
      </w:r>
      <w:proofErr w:type="gramEnd"/>
      <w:r w:rsidRPr="00783B99">
        <w:rPr>
          <w:rFonts w:ascii="Arial" w:hAnsi="Arial" w:cs="Arial"/>
        </w:rPr>
        <w:t xml:space="preserve"> extension of existing municipal services or functions during the financial year;</w:t>
      </w:r>
    </w:p>
    <w:p w:rsidR="0012483E" w:rsidRPr="00783B99" w:rsidRDefault="0012483E" w:rsidP="0012483E">
      <w:pPr>
        <w:jc w:val="both"/>
        <w:rPr>
          <w:rFonts w:ascii="Arial" w:hAnsi="Arial" w:cs="Arial"/>
        </w:rPr>
      </w:pPr>
      <w:r w:rsidRPr="00783B99">
        <w:rPr>
          <w:rFonts w:ascii="Arial" w:hAnsi="Arial" w:cs="Arial"/>
        </w:rPr>
        <w:t>iv</w:t>
      </w:r>
      <w:proofErr w:type="gramStart"/>
      <w:r w:rsidRPr="00783B99">
        <w:rPr>
          <w:rFonts w:ascii="Arial" w:hAnsi="Arial" w:cs="Arial"/>
        </w:rPr>
        <w:t>.  the</w:t>
      </w:r>
      <w:proofErr w:type="gramEnd"/>
      <w:r w:rsidRPr="00783B99">
        <w:rPr>
          <w:rFonts w:ascii="Arial" w:hAnsi="Arial" w:cs="Arial"/>
        </w:rPr>
        <w:t xml:space="preserve"> appointment of personnel during the financial year; or</w:t>
      </w:r>
    </w:p>
    <w:p w:rsidR="0012483E" w:rsidRPr="00783B99" w:rsidRDefault="0012483E" w:rsidP="0012483E">
      <w:pPr>
        <w:jc w:val="both"/>
        <w:rPr>
          <w:rFonts w:ascii="Arial" w:hAnsi="Arial" w:cs="Arial"/>
        </w:rPr>
      </w:pPr>
      <w:proofErr w:type="gramStart"/>
      <w:r w:rsidRPr="00783B99">
        <w:rPr>
          <w:rFonts w:ascii="Arial" w:hAnsi="Arial" w:cs="Arial"/>
        </w:rPr>
        <w:t>v</w:t>
      </w:r>
      <w:proofErr w:type="gramEnd"/>
      <w:r w:rsidRPr="00783B99">
        <w:rPr>
          <w:rFonts w:ascii="Arial" w:hAnsi="Arial" w:cs="Arial"/>
        </w:rPr>
        <w:t>. allocating discretionary appropriations to any vote during the financial year; or</w:t>
      </w:r>
    </w:p>
    <w:p w:rsidR="0012483E" w:rsidRPr="00783B99" w:rsidRDefault="0012483E" w:rsidP="0012483E">
      <w:pPr>
        <w:jc w:val="both"/>
        <w:rPr>
          <w:rFonts w:ascii="Arial" w:hAnsi="Arial" w:cs="Arial"/>
        </w:rPr>
      </w:pPr>
      <w:proofErr w:type="gramStart"/>
      <w:r w:rsidRPr="00783B99">
        <w:rPr>
          <w:rFonts w:ascii="Arial" w:hAnsi="Arial" w:cs="Arial"/>
        </w:rPr>
        <w:t>c.  would</w:t>
      </w:r>
      <w:proofErr w:type="gramEnd"/>
      <w:r w:rsidRPr="00783B99">
        <w:rPr>
          <w:rFonts w:ascii="Arial" w:hAnsi="Arial" w:cs="Arial"/>
        </w:rPr>
        <w:t xml:space="preserve"> contravene any existing council policy; or</w:t>
      </w:r>
    </w:p>
    <w:p w:rsidR="0012483E" w:rsidRPr="00783B99" w:rsidRDefault="0012483E" w:rsidP="0012483E">
      <w:pPr>
        <w:jc w:val="both"/>
        <w:rPr>
          <w:rFonts w:ascii="Arial" w:hAnsi="Arial" w:cs="Arial"/>
        </w:rPr>
      </w:pPr>
      <w:proofErr w:type="gramStart"/>
      <w:r w:rsidRPr="00783B99">
        <w:rPr>
          <w:rFonts w:ascii="Arial" w:hAnsi="Arial" w:cs="Arial"/>
        </w:rPr>
        <w:t>d.  is</w:t>
      </w:r>
      <w:proofErr w:type="gramEnd"/>
      <w:r w:rsidRPr="00783B99">
        <w:rPr>
          <w:rFonts w:ascii="Arial" w:hAnsi="Arial" w:cs="Arial"/>
        </w:rPr>
        <w:t xml:space="preserve"> intended to ratify irregular or fruitless and wasteful expenditure.</w:t>
      </w:r>
    </w:p>
    <w:p w:rsidR="0012483E" w:rsidRPr="00B31522" w:rsidRDefault="0012483E" w:rsidP="0012483E">
      <w:pPr>
        <w:autoSpaceDE w:val="0"/>
        <w:autoSpaceDN w:val="0"/>
        <w:adjustRightInd w:val="0"/>
        <w:ind w:left="567" w:hanging="567"/>
        <w:rPr>
          <w:rFonts w:ascii="Arial" w:eastAsia="Times New Roman" w:hAnsi="Arial" w:cs="Arial"/>
          <w:b/>
          <w:caps/>
          <w:color w:val="292526"/>
        </w:rPr>
      </w:pPr>
      <w:r>
        <w:rPr>
          <w:rFonts w:ascii="Arial" w:hAnsi="Arial" w:cs="Arial"/>
          <w:b/>
          <w:caps/>
          <w:color w:val="292526"/>
        </w:rPr>
        <w:lastRenderedPageBreak/>
        <w:t>6.3</w:t>
      </w:r>
      <w:r w:rsidRPr="00B31522">
        <w:rPr>
          <w:rFonts w:ascii="Arial" w:eastAsia="Times New Roman" w:hAnsi="Arial" w:cs="Arial"/>
          <w:b/>
          <w:caps/>
          <w:color w:val="292526"/>
        </w:rPr>
        <w:t>.</w:t>
      </w:r>
      <w:r w:rsidRPr="00B31522">
        <w:rPr>
          <w:rFonts w:ascii="Arial" w:eastAsia="Times New Roman" w:hAnsi="Arial" w:cs="Arial"/>
          <w:b/>
          <w:caps/>
          <w:color w:val="292526"/>
        </w:rPr>
        <w:tab/>
        <w:t>ADJUSTMENT BUDGET</w:t>
      </w:r>
    </w:p>
    <w:p w:rsidR="0012483E" w:rsidRPr="00B31522" w:rsidRDefault="0012483E" w:rsidP="0012483E">
      <w:pPr>
        <w:jc w:val="both"/>
        <w:rPr>
          <w:rFonts w:ascii="Arial" w:eastAsia="Times New Roman" w:hAnsi="Arial" w:cs="Arial"/>
        </w:rPr>
      </w:pPr>
      <w:r w:rsidRPr="00B31522">
        <w:rPr>
          <w:rFonts w:ascii="Arial" w:eastAsia="Times New Roman" w:hAnsi="Arial" w:cs="Arial"/>
        </w:rPr>
        <w:t>(a) Each adjustments budget shall reflect realistic excess, however nominal, of current revenues over expenses.</w:t>
      </w:r>
    </w:p>
    <w:p w:rsidR="0012483E" w:rsidRPr="00B31522" w:rsidRDefault="0012483E" w:rsidP="0012483E">
      <w:pPr>
        <w:jc w:val="both"/>
        <w:rPr>
          <w:rFonts w:ascii="Arial" w:eastAsia="Times New Roman" w:hAnsi="Arial" w:cs="Arial"/>
        </w:rPr>
      </w:pPr>
      <w:r w:rsidRPr="00B31522">
        <w:rPr>
          <w:rFonts w:ascii="Arial" w:eastAsia="Times New Roman" w:hAnsi="Arial" w:cs="Arial"/>
        </w:rPr>
        <w:t>(b) The chief financial officer shall ensure that the adjustments budgets comply with the requirements of the National Treasury, reflect the budget priorities determined by the executive mayor, are aligned with the IDP, and comply with all budget-related policies, and shall make recommendations to the executive mayor on the revision of the IDP and the budget-related policies where these are indicated.</w:t>
      </w:r>
    </w:p>
    <w:p w:rsidR="0012483E" w:rsidRPr="00B31522" w:rsidRDefault="0012483E" w:rsidP="0012483E">
      <w:pPr>
        <w:jc w:val="both"/>
        <w:rPr>
          <w:rFonts w:ascii="Arial" w:eastAsia="Times New Roman" w:hAnsi="Arial" w:cs="Arial"/>
        </w:rPr>
      </w:pPr>
      <w:r w:rsidRPr="00B31522">
        <w:rPr>
          <w:rFonts w:ascii="Arial" w:eastAsia="Times New Roman" w:hAnsi="Arial" w:cs="Arial"/>
        </w:rPr>
        <w:t>(c) Council may revise its annual budget by means of an adjustments budget as regulated.</w:t>
      </w:r>
    </w:p>
    <w:p w:rsidR="0012483E" w:rsidRPr="00B31522" w:rsidRDefault="0012483E" w:rsidP="0012483E">
      <w:pPr>
        <w:jc w:val="both"/>
        <w:rPr>
          <w:rFonts w:ascii="Arial" w:eastAsia="Times New Roman" w:hAnsi="Arial" w:cs="Arial"/>
        </w:rPr>
      </w:pPr>
      <w:r w:rsidRPr="00B31522">
        <w:rPr>
          <w:rFonts w:ascii="Arial" w:eastAsia="Times New Roman" w:hAnsi="Arial" w:cs="Arial"/>
        </w:rPr>
        <w:t>(d) The Accounting Officer must promptly adjust its budgeted revenues and expenses if a material under-collection of revenues arises or is apparent.</w:t>
      </w:r>
    </w:p>
    <w:p w:rsidR="0012483E" w:rsidRPr="00B31522" w:rsidRDefault="0012483E" w:rsidP="0012483E">
      <w:pPr>
        <w:jc w:val="both"/>
        <w:rPr>
          <w:rFonts w:ascii="Arial" w:eastAsia="Times New Roman" w:hAnsi="Arial" w:cs="Arial"/>
        </w:rPr>
      </w:pPr>
      <w:r w:rsidRPr="00B31522">
        <w:rPr>
          <w:rFonts w:ascii="Arial" w:eastAsia="Times New Roman" w:hAnsi="Arial" w:cs="Arial"/>
        </w:rPr>
        <w:t>(e) The  Accounting  Officer  shall  appropriate  additional  revenues,  which  have become  available  but  only  to  revise  or  accelerate  spending  programmes</w:t>
      </w:r>
    </w:p>
    <w:p w:rsidR="0012483E" w:rsidRPr="00B31522" w:rsidRDefault="0012483E" w:rsidP="0012483E">
      <w:pPr>
        <w:jc w:val="both"/>
        <w:rPr>
          <w:rFonts w:ascii="Arial" w:eastAsia="Times New Roman" w:hAnsi="Arial" w:cs="Arial"/>
        </w:rPr>
      </w:pPr>
      <w:proofErr w:type="gramStart"/>
      <w:r w:rsidRPr="00B31522">
        <w:rPr>
          <w:rFonts w:ascii="Arial" w:eastAsia="Times New Roman" w:hAnsi="Arial" w:cs="Arial"/>
        </w:rPr>
        <w:t>already</w:t>
      </w:r>
      <w:proofErr w:type="gramEnd"/>
      <w:r w:rsidRPr="00B31522">
        <w:rPr>
          <w:rFonts w:ascii="Arial" w:eastAsia="Times New Roman" w:hAnsi="Arial" w:cs="Arial"/>
        </w:rPr>
        <w:t xml:space="preserve"> budgeted for or any areas of critical importance identified by Council in compliance with Item 2 of Section 10.</w:t>
      </w:r>
    </w:p>
    <w:p w:rsidR="0012483E" w:rsidRPr="00B31522" w:rsidRDefault="0012483E" w:rsidP="0012483E">
      <w:pPr>
        <w:jc w:val="both"/>
        <w:rPr>
          <w:rFonts w:ascii="Arial" w:eastAsia="Times New Roman" w:hAnsi="Arial" w:cs="Arial"/>
        </w:rPr>
      </w:pPr>
      <w:r w:rsidRPr="00B31522">
        <w:rPr>
          <w:rFonts w:ascii="Arial" w:eastAsia="Times New Roman" w:hAnsi="Arial" w:cs="Arial"/>
        </w:rPr>
        <w:t>(f) The Council shall in such adjustments budget, and within the prescribed framework, confirm unforeseen and unavoidable expenses on the recommendation of the Executive Mayor.</w:t>
      </w:r>
    </w:p>
    <w:p w:rsidR="0012483E" w:rsidRPr="00B31522" w:rsidRDefault="0012483E" w:rsidP="0012483E">
      <w:pPr>
        <w:jc w:val="both"/>
        <w:rPr>
          <w:rFonts w:ascii="Arial" w:eastAsia="Times New Roman" w:hAnsi="Arial" w:cs="Arial"/>
        </w:rPr>
      </w:pPr>
      <w:r w:rsidRPr="00B31522">
        <w:rPr>
          <w:rFonts w:ascii="Arial" w:eastAsia="Times New Roman" w:hAnsi="Arial" w:cs="Arial"/>
        </w:rPr>
        <w:t xml:space="preserve">(g)  Only </w:t>
      </w:r>
      <w:proofErr w:type="gramStart"/>
      <w:r w:rsidRPr="00B31522">
        <w:rPr>
          <w:rFonts w:ascii="Arial" w:eastAsia="Times New Roman" w:hAnsi="Arial" w:cs="Arial"/>
        </w:rPr>
        <w:t>the  Executive</w:t>
      </w:r>
      <w:proofErr w:type="gramEnd"/>
      <w:r w:rsidRPr="00B31522">
        <w:rPr>
          <w:rFonts w:ascii="Arial" w:eastAsia="Times New Roman" w:hAnsi="Arial" w:cs="Arial"/>
        </w:rPr>
        <w:t xml:space="preserve"> mayor shall  table  an  adjustment budget. Adjustments budget shall be done once as part of the mid-year budget performance assessment:</w:t>
      </w:r>
    </w:p>
    <w:p w:rsidR="0012483E" w:rsidRPr="00B31522" w:rsidRDefault="0012483E" w:rsidP="0012483E">
      <w:pPr>
        <w:jc w:val="both"/>
        <w:rPr>
          <w:rFonts w:ascii="Arial" w:eastAsia="Times New Roman" w:hAnsi="Arial" w:cs="Arial"/>
        </w:rPr>
      </w:pPr>
      <w:r w:rsidRPr="00B31522">
        <w:rPr>
          <w:rFonts w:ascii="Arial" w:eastAsia="Times New Roman" w:hAnsi="Arial" w:cs="Arial"/>
        </w:rPr>
        <w:t>(h) An adjustments budget must contain all of the following:</w:t>
      </w:r>
    </w:p>
    <w:p w:rsidR="0012483E" w:rsidRPr="00B31522" w:rsidRDefault="0012483E" w:rsidP="0012483E">
      <w:pPr>
        <w:jc w:val="both"/>
        <w:rPr>
          <w:rFonts w:ascii="Arial" w:eastAsia="Times New Roman" w:hAnsi="Arial" w:cs="Arial"/>
        </w:rPr>
      </w:pPr>
      <w:r w:rsidRPr="00B31522">
        <w:rPr>
          <w:rFonts w:ascii="Arial" w:eastAsia="Times New Roman" w:hAnsi="Arial" w:cs="Arial"/>
        </w:rPr>
        <w:t>a.  an  explanation  of  how  the  adjustments  affect  the  approved  annual budget;</w:t>
      </w:r>
    </w:p>
    <w:p w:rsidR="0012483E" w:rsidRPr="00B31522" w:rsidRDefault="0012483E" w:rsidP="0012483E">
      <w:pPr>
        <w:jc w:val="both"/>
        <w:rPr>
          <w:rFonts w:ascii="Arial" w:eastAsia="Times New Roman" w:hAnsi="Arial" w:cs="Arial"/>
        </w:rPr>
      </w:pPr>
      <w:proofErr w:type="gramStart"/>
      <w:r w:rsidRPr="00B31522">
        <w:rPr>
          <w:rFonts w:ascii="Arial" w:eastAsia="Times New Roman" w:hAnsi="Arial" w:cs="Arial"/>
        </w:rPr>
        <w:t>b.  appropriate</w:t>
      </w:r>
      <w:proofErr w:type="gramEnd"/>
      <w:r w:rsidRPr="00B31522">
        <w:rPr>
          <w:rFonts w:ascii="Arial" w:eastAsia="Times New Roman" w:hAnsi="Arial" w:cs="Arial"/>
        </w:rPr>
        <w:t xml:space="preserve"> motivations for material adjustments; and</w:t>
      </w:r>
    </w:p>
    <w:p w:rsidR="0012483E" w:rsidRPr="00B31522" w:rsidRDefault="0012483E" w:rsidP="0012483E">
      <w:pPr>
        <w:jc w:val="both"/>
        <w:rPr>
          <w:rFonts w:ascii="Arial" w:eastAsia="Times New Roman" w:hAnsi="Arial" w:cs="Arial"/>
        </w:rPr>
      </w:pPr>
      <w:proofErr w:type="gramStart"/>
      <w:r w:rsidRPr="00B31522">
        <w:rPr>
          <w:rFonts w:ascii="Arial" w:eastAsia="Times New Roman" w:hAnsi="Arial" w:cs="Arial"/>
        </w:rPr>
        <w:t>c.  an</w:t>
      </w:r>
      <w:proofErr w:type="gramEnd"/>
      <w:r w:rsidRPr="00B31522">
        <w:rPr>
          <w:rFonts w:ascii="Arial" w:eastAsia="Times New Roman" w:hAnsi="Arial" w:cs="Arial"/>
        </w:rPr>
        <w:t xml:space="preserve"> explanation of the impact of any increased spending on the current and future annual budgets.</w:t>
      </w:r>
    </w:p>
    <w:p w:rsidR="0012483E" w:rsidRPr="00B31522" w:rsidRDefault="0012483E" w:rsidP="0012483E">
      <w:pPr>
        <w:jc w:val="both"/>
        <w:rPr>
          <w:rFonts w:ascii="Arial" w:eastAsia="Times New Roman" w:hAnsi="Arial" w:cs="Arial"/>
        </w:rPr>
      </w:pPr>
      <w:r w:rsidRPr="00B31522">
        <w:rPr>
          <w:rFonts w:ascii="Arial" w:eastAsia="Times New Roman" w:hAnsi="Arial" w:cs="Arial"/>
        </w:rPr>
        <w:t>(</w:t>
      </w:r>
      <w:proofErr w:type="spellStart"/>
      <w:r w:rsidRPr="00B31522">
        <w:rPr>
          <w:rFonts w:ascii="Arial" w:eastAsia="Times New Roman" w:hAnsi="Arial" w:cs="Arial"/>
        </w:rPr>
        <w:t>i</w:t>
      </w:r>
      <w:proofErr w:type="spellEnd"/>
      <w:r w:rsidRPr="00B31522">
        <w:rPr>
          <w:rFonts w:ascii="Arial" w:eastAsia="Times New Roman" w:hAnsi="Arial" w:cs="Arial"/>
        </w:rPr>
        <w:t>)  Any unappropriated surplus from previous financial years, even if fully cash- backed, may not be used to balance any adjustments budget, but may be appropriated to the municipality’s capital replacement reserve.</w:t>
      </w:r>
    </w:p>
    <w:p w:rsidR="0012483E" w:rsidRPr="00B31522" w:rsidRDefault="0012483E" w:rsidP="0012483E">
      <w:pPr>
        <w:jc w:val="both"/>
        <w:rPr>
          <w:rFonts w:ascii="Arial" w:eastAsia="Times New Roman" w:hAnsi="Arial" w:cs="Arial"/>
        </w:rPr>
      </w:pPr>
      <w:r w:rsidRPr="00B31522">
        <w:rPr>
          <w:rFonts w:ascii="Arial" w:eastAsia="Times New Roman" w:hAnsi="Arial" w:cs="Arial"/>
        </w:rPr>
        <w:t>(j)  Municipal taxes and tariffs may not be increased during a financial year except if required in terms of a financial recovery plan and or per National Treasury Regulations.</w:t>
      </w:r>
    </w:p>
    <w:p w:rsidR="0012483E" w:rsidRPr="00B31522" w:rsidRDefault="0012483E" w:rsidP="0012483E">
      <w:pPr>
        <w:jc w:val="both"/>
        <w:rPr>
          <w:rFonts w:ascii="Arial" w:eastAsia="Times New Roman" w:hAnsi="Arial" w:cs="Arial"/>
        </w:rPr>
      </w:pPr>
      <w:r w:rsidRPr="00B31522">
        <w:rPr>
          <w:rFonts w:ascii="Arial" w:eastAsia="Times New Roman" w:hAnsi="Arial" w:cs="Arial"/>
        </w:rPr>
        <w:t>(k) Unauthorised expenses may be authorised in an adjustments budget.</w:t>
      </w:r>
    </w:p>
    <w:p w:rsidR="0012483E" w:rsidRPr="00B31522" w:rsidRDefault="0012483E" w:rsidP="0012483E">
      <w:pPr>
        <w:spacing w:line="240" w:lineRule="auto"/>
        <w:jc w:val="both"/>
        <w:rPr>
          <w:rFonts w:ascii="Arial" w:eastAsia="Times New Roman" w:hAnsi="Arial" w:cs="Arial"/>
        </w:rPr>
      </w:pPr>
    </w:p>
    <w:p w:rsidR="0012483E" w:rsidRDefault="0012483E" w:rsidP="0012483E">
      <w:pPr>
        <w:jc w:val="both"/>
        <w:rPr>
          <w:rFonts w:ascii="Arial" w:hAnsi="Arial" w:cs="Arial"/>
        </w:rPr>
      </w:pPr>
    </w:p>
    <w:p w:rsidR="0012483E" w:rsidRDefault="0012483E" w:rsidP="0012483E">
      <w:pPr>
        <w:jc w:val="both"/>
        <w:rPr>
          <w:rFonts w:ascii="Arial" w:hAnsi="Arial" w:cs="Arial"/>
        </w:rPr>
      </w:pPr>
    </w:p>
    <w:p w:rsidR="0012483E" w:rsidRDefault="0012483E" w:rsidP="0012483E">
      <w:pPr>
        <w:pStyle w:val="BodyText"/>
        <w:spacing w:after="0"/>
        <w:ind w:left="567" w:hanging="567"/>
        <w:jc w:val="both"/>
        <w:rPr>
          <w:rFonts w:ascii="Arial" w:hAnsi="Arial" w:cs="Arial"/>
          <w:sz w:val="22"/>
          <w:szCs w:val="22"/>
          <w:lang w:val="en-ZA"/>
        </w:rPr>
      </w:pPr>
    </w:p>
    <w:p w:rsidR="0012483E" w:rsidRPr="0012483E" w:rsidRDefault="0012483E" w:rsidP="00D05ED2">
      <w:pPr>
        <w:spacing w:after="0" w:line="24" w:lineRule="atLeast"/>
        <w:ind w:left="540" w:hanging="540"/>
        <w:rPr>
          <w:sz w:val="24"/>
          <w:lang w:val="af-ZA"/>
        </w:rPr>
      </w:pPr>
    </w:p>
    <w:sectPr w:rsidR="0012483E" w:rsidRPr="0012483E" w:rsidSect="00A74FC2">
      <w:pgSz w:w="11906" w:h="16838"/>
      <w:pgMar w:top="1361" w:right="1134" w:bottom="136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092"/>
    <w:multiLevelType w:val="hybridMultilevel"/>
    <w:tmpl w:val="3816223E"/>
    <w:lvl w:ilvl="0" w:tplc="676E6FBE">
      <w:start w:val="1"/>
      <w:numFmt w:val="lowerRoman"/>
      <w:lvlText w:val="(%1)"/>
      <w:lvlJc w:val="left"/>
      <w:pPr>
        <w:ind w:left="28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8A136E5"/>
    <w:multiLevelType w:val="hybridMultilevel"/>
    <w:tmpl w:val="4C8E4716"/>
    <w:lvl w:ilvl="0" w:tplc="E7869598">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B656A4"/>
    <w:multiLevelType w:val="multilevel"/>
    <w:tmpl w:val="7EA04EE8"/>
    <w:lvl w:ilvl="0">
      <w:start w:val="4"/>
      <w:numFmt w:val="decimal"/>
      <w:lvlText w:val="%1"/>
      <w:lvlJc w:val="left"/>
      <w:pPr>
        <w:ind w:left="360" w:hanging="360"/>
      </w:pPr>
      <w:rPr>
        <w:rFonts w:hint="default"/>
        <w:u w:val="none"/>
      </w:rPr>
    </w:lvl>
    <w:lvl w:ilvl="1">
      <w:start w:val="5"/>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 w15:restartNumberingAfterBreak="0">
    <w:nsid w:val="09523296"/>
    <w:multiLevelType w:val="hybridMultilevel"/>
    <w:tmpl w:val="4C8E4716"/>
    <w:lvl w:ilvl="0" w:tplc="E7869598">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FF72B3"/>
    <w:multiLevelType w:val="hybridMultilevel"/>
    <w:tmpl w:val="10C46D10"/>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15:restartNumberingAfterBreak="0">
    <w:nsid w:val="13C76AA1"/>
    <w:multiLevelType w:val="multilevel"/>
    <w:tmpl w:val="CA387B58"/>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6" w15:restartNumberingAfterBreak="0">
    <w:nsid w:val="16113299"/>
    <w:multiLevelType w:val="hybridMultilevel"/>
    <w:tmpl w:val="BF64F594"/>
    <w:lvl w:ilvl="0" w:tplc="04090005">
      <w:start w:val="1"/>
      <w:numFmt w:val="bullet"/>
      <w:lvlText w:val=""/>
      <w:lvlJc w:val="left"/>
      <w:pPr>
        <w:tabs>
          <w:tab w:val="num" w:pos="2340"/>
        </w:tabs>
        <w:ind w:left="2340" w:hanging="360"/>
      </w:pPr>
      <w:rPr>
        <w:rFonts w:ascii="Wingdings" w:hAnsi="Wingdings"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7" w15:restartNumberingAfterBreak="0">
    <w:nsid w:val="1672517F"/>
    <w:multiLevelType w:val="hybridMultilevel"/>
    <w:tmpl w:val="62AAA352"/>
    <w:lvl w:ilvl="0" w:tplc="02A857AE">
      <w:start w:val="1"/>
      <w:numFmt w:val="lowerRoman"/>
      <w:lvlText w:val="%1)"/>
      <w:lvlJc w:val="left"/>
      <w:pPr>
        <w:ind w:left="720" w:hanging="360"/>
      </w:pPr>
      <w:rPr>
        <w:rFonts w:hint="default"/>
      </w:rPr>
    </w:lvl>
    <w:lvl w:ilvl="1" w:tplc="83D4C6F6">
      <w:start w:val="1"/>
      <w:numFmt w:val="decimal"/>
      <w:lvlText w:val="2.%2"/>
      <w:lvlJc w:val="left"/>
      <w:pPr>
        <w:ind w:left="1440" w:hanging="360"/>
      </w:pPr>
      <w:rPr>
        <w:rFonts w:hint="default"/>
      </w:rPr>
    </w:lvl>
    <w:lvl w:ilvl="2" w:tplc="0409001B">
      <w:start w:val="1"/>
      <w:numFmt w:val="lowerRoman"/>
      <w:lvlText w:val="%3."/>
      <w:lvlJc w:val="right"/>
      <w:pPr>
        <w:ind w:left="2160" w:hanging="180"/>
      </w:pPr>
    </w:lvl>
    <w:lvl w:ilvl="3" w:tplc="AFC841D8">
      <w:start w:val="1"/>
      <w:numFmt w:val="lowerRoman"/>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81B04"/>
    <w:multiLevelType w:val="hybridMultilevel"/>
    <w:tmpl w:val="869EC8DE"/>
    <w:lvl w:ilvl="0" w:tplc="7FE4BB10">
      <w:start w:val="1"/>
      <w:numFmt w:val="decimal"/>
      <w:lvlText w:val="%1."/>
      <w:lvlJc w:val="left"/>
      <w:pPr>
        <w:ind w:left="720" w:hanging="360"/>
      </w:pPr>
      <w:rPr>
        <w:rFonts w:asciiTheme="minorHAnsi" w:hAnsiTheme="minorHAnsi" w:hint="default"/>
        <w:color w:val="C00000"/>
        <w:sz w:val="24"/>
        <w:szCs w:val="24"/>
      </w:rPr>
    </w:lvl>
    <w:lvl w:ilvl="1" w:tplc="1C090017">
      <w:start w:val="1"/>
      <w:numFmt w:val="lowerLetter"/>
      <w:lvlText w:val="%2)"/>
      <w:lvlJc w:val="left"/>
      <w:pPr>
        <w:ind w:left="1440" w:hanging="360"/>
      </w:pPr>
      <w:rPr>
        <w:rFonts w:hint="default"/>
      </w:rPr>
    </w:lvl>
    <w:lvl w:ilvl="2" w:tplc="1C09001B">
      <w:start w:val="1"/>
      <w:numFmt w:val="lowerRoman"/>
      <w:lvlText w:val="%3."/>
      <w:lvlJc w:val="right"/>
      <w:pPr>
        <w:ind w:left="2160" w:hanging="180"/>
      </w:pPr>
    </w:lvl>
    <w:lvl w:ilvl="3" w:tplc="D876AFCC">
      <w:start w:val="1"/>
      <w:numFmt w:val="lowerRoman"/>
      <w:lvlText w:val="(%4)"/>
      <w:lvlJc w:val="left"/>
      <w:pPr>
        <w:ind w:left="3240" w:hanging="720"/>
      </w:pPr>
      <w:rPr>
        <w:rFonts w:hint="eastAsia"/>
      </w:rPr>
    </w:lvl>
    <w:lvl w:ilvl="4" w:tplc="849CD9FC">
      <w:start w:val="1"/>
      <w:numFmt w:val="bullet"/>
      <w:lvlText w:val="·"/>
      <w:lvlJc w:val="left"/>
      <w:pPr>
        <w:ind w:left="3600" w:hanging="360"/>
      </w:pPr>
      <w:rPr>
        <w:rFonts w:ascii="Cambria" w:eastAsiaTheme="minorEastAsia" w:hAnsi="Cambria" w:cs="Symbol"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BBD32AB"/>
    <w:multiLevelType w:val="multilevel"/>
    <w:tmpl w:val="AD565F0E"/>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C3A5FF3"/>
    <w:multiLevelType w:val="hybridMultilevel"/>
    <w:tmpl w:val="FFD64066"/>
    <w:lvl w:ilvl="0" w:tplc="1C090001">
      <w:start w:val="1"/>
      <w:numFmt w:val="bullet"/>
      <w:lvlText w:val=""/>
      <w:lvlJc w:val="left"/>
      <w:pPr>
        <w:ind w:left="2145" w:hanging="360"/>
      </w:pPr>
      <w:rPr>
        <w:rFonts w:ascii="Symbol" w:hAnsi="Symbol" w:hint="default"/>
      </w:rPr>
    </w:lvl>
    <w:lvl w:ilvl="1" w:tplc="1C090003">
      <w:start w:val="1"/>
      <w:numFmt w:val="bullet"/>
      <w:lvlText w:val="o"/>
      <w:lvlJc w:val="left"/>
      <w:pPr>
        <w:ind w:left="2865" w:hanging="360"/>
      </w:pPr>
      <w:rPr>
        <w:rFonts w:ascii="Courier New" w:hAnsi="Courier New" w:cs="Courier New" w:hint="default"/>
      </w:rPr>
    </w:lvl>
    <w:lvl w:ilvl="2" w:tplc="1C090005">
      <w:start w:val="1"/>
      <w:numFmt w:val="bullet"/>
      <w:lvlText w:val=""/>
      <w:lvlJc w:val="left"/>
      <w:pPr>
        <w:ind w:left="3585" w:hanging="360"/>
      </w:pPr>
      <w:rPr>
        <w:rFonts w:ascii="Wingdings" w:hAnsi="Wingdings" w:hint="default"/>
      </w:rPr>
    </w:lvl>
    <w:lvl w:ilvl="3" w:tplc="1C090001" w:tentative="1">
      <w:start w:val="1"/>
      <w:numFmt w:val="bullet"/>
      <w:lvlText w:val=""/>
      <w:lvlJc w:val="left"/>
      <w:pPr>
        <w:ind w:left="4305" w:hanging="360"/>
      </w:pPr>
      <w:rPr>
        <w:rFonts w:ascii="Symbol" w:hAnsi="Symbol" w:hint="default"/>
      </w:rPr>
    </w:lvl>
    <w:lvl w:ilvl="4" w:tplc="1C090003" w:tentative="1">
      <w:start w:val="1"/>
      <w:numFmt w:val="bullet"/>
      <w:lvlText w:val="o"/>
      <w:lvlJc w:val="left"/>
      <w:pPr>
        <w:ind w:left="5025" w:hanging="360"/>
      </w:pPr>
      <w:rPr>
        <w:rFonts w:ascii="Courier New" w:hAnsi="Courier New" w:cs="Courier New" w:hint="default"/>
      </w:rPr>
    </w:lvl>
    <w:lvl w:ilvl="5" w:tplc="1C090005" w:tentative="1">
      <w:start w:val="1"/>
      <w:numFmt w:val="bullet"/>
      <w:lvlText w:val=""/>
      <w:lvlJc w:val="left"/>
      <w:pPr>
        <w:ind w:left="5745" w:hanging="360"/>
      </w:pPr>
      <w:rPr>
        <w:rFonts w:ascii="Wingdings" w:hAnsi="Wingdings" w:hint="default"/>
      </w:rPr>
    </w:lvl>
    <w:lvl w:ilvl="6" w:tplc="1C090001" w:tentative="1">
      <w:start w:val="1"/>
      <w:numFmt w:val="bullet"/>
      <w:lvlText w:val=""/>
      <w:lvlJc w:val="left"/>
      <w:pPr>
        <w:ind w:left="6465" w:hanging="360"/>
      </w:pPr>
      <w:rPr>
        <w:rFonts w:ascii="Symbol" w:hAnsi="Symbol" w:hint="default"/>
      </w:rPr>
    </w:lvl>
    <w:lvl w:ilvl="7" w:tplc="1C090003" w:tentative="1">
      <w:start w:val="1"/>
      <w:numFmt w:val="bullet"/>
      <w:lvlText w:val="o"/>
      <w:lvlJc w:val="left"/>
      <w:pPr>
        <w:ind w:left="7185" w:hanging="360"/>
      </w:pPr>
      <w:rPr>
        <w:rFonts w:ascii="Courier New" w:hAnsi="Courier New" w:cs="Courier New" w:hint="default"/>
      </w:rPr>
    </w:lvl>
    <w:lvl w:ilvl="8" w:tplc="1C090005" w:tentative="1">
      <w:start w:val="1"/>
      <w:numFmt w:val="bullet"/>
      <w:lvlText w:val=""/>
      <w:lvlJc w:val="left"/>
      <w:pPr>
        <w:ind w:left="7905" w:hanging="360"/>
      </w:pPr>
      <w:rPr>
        <w:rFonts w:ascii="Wingdings" w:hAnsi="Wingdings" w:hint="default"/>
      </w:rPr>
    </w:lvl>
  </w:abstractNum>
  <w:abstractNum w:abstractNumId="11" w15:restartNumberingAfterBreak="0">
    <w:nsid w:val="31037866"/>
    <w:multiLevelType w:val="multilevel"/>
    <w:tmpl w:val="EA7AFCD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3169402B"/>
    <w:multiLevelType w:val="hybridMultilevel"/>
    <w:tmpl w:val="8EC0ECF8"/>
    <w:lvl w:ilvl="0" w:tplc="1C090005">
      <w:start w:val="1"/>
      <w:numFmt w:val="bullet"/>
      <w:lvlText w:val=""/>
      <w:lvlJc w:val="left"/>
      <w:pPr>
        <w:ind w:left="862" w:hanging="360"/>
      </w:pPr>
      <w:rPr>
        <w:rFonts w:ascii="Wingdings" w:hAnsi="Wingdings" w:hint="default"/>
      </w:rPr>
    </w:lvl>
    <w:lvl w:ilvl="1" w:tplc="1C090003">
      <w:start w:val="1"/>
      <w:numFmt w:val="bullet"/>
      <w:lvlText w:val="o"/>
      <w:lvlJc w:val="left"/>
      <w:pPr>
        <w:ind w:left="1582" w:hanging="360"/>
      </w:pPr>
      <w:rPr>
        <w:rFonts w:ascii="Courier New" w:hAnsi="Courier New" w:cs="Courier New" w:hint="default"/>
      </w:rPr>
    </w:lvl>
    <w:lvl w:ilvl="2" w:tplc="1C090005" w:tentative="1">
      <w:start w:val="1"/>
      <w:numFmt w:val="bullet"/>
      <w:lvlText w:val=""/>
      <w:lvlJc w:val="left"/>
      <w:pPr>
        <w:ind w:left="2302" w:hanging="360"/>
      </w:pPr>
      <w:rPr>
        <w:rFonts w:ascii="Wingdings" w:hAnsi="Wingdings" w:hint="default"/>
      </w:rPr>
    </w:lvl>
    <w:lvl w:ilvl="3" w:tplc="1C090001" w:tentative="1">
      <w:start w:val="1"/>
      <w:numFmt w:val="bullet"/>
      <w:lvlText w:val=""/>
      <w:lvlJc w:val="left"/>
      <w:pPr>
        <w:ind w:left="3022" w:hanging="360"/>
      </w:pPr>
      <w:rPr>
        <w:rFonts w:ascii="Symbol" w:hAnsi="Symbol" w:hint="default"/>
      </w:rPr>
    </w:lvl>
    <w:lvl w:ilvl="4" w:tplc="1C090003" w:tentative="1">
      <w:start w:val="1"/>
      <w:numFmt w:val="bullet"/>
      <w:lvlText w:val="o"/>
      <w:lvlJc w:val="left"/>
      <w:pPr>
        <w:ind w:left="3742" w:hanging="360"/>
      </w:pPr>
      <w:rPr>
        <w:rFonts w:ascii="Courier New" w:hAnsi="Courier New" w:cs="Courier New" w:hint="default"/>
      </w:rPr>
    </w:lvl>
    <w:lvl w:ilvl="5" w:tplc="1C090005" w:tentative="1">
      <w:start w:val="1"/>
      <w:numFmt w:val="bullet"/>
      <w:lvlText w:val=""/>
      <w:lvlJc w:val="left"/>
      <w:pPr>
        <w:ind w:left="4462" w:hanging="360"/>
      </w:pPr>
      <w:rPr>
        <w:rFonts w:ascii="Wingdings" w:hAnsi="Wingdings" w:hint="default"/>
      </w:rPr>
    </w:lvl>
    <w:lvl w:ilvl="6" w:tplc="1C090001" w:tentative="1">
      <w:start w:val="1"/>
      <w:numFmt w:val="bullet"/>
      <w:lvlText w:val=""/>
      <w:lvlJc w:val="left"/>
      <w:pPr>
        <w:ind w:left="5182" w:hanging="360"/>
      </w:pPr>
      <w:rPr>
        <w:rFonts w:ascii="Symbol" w:hAnsi="Symbol" w:hint="default"/>
      </w:rPr>
    </w:lvl>
    <w:lvl w:ilvl="7" w:tplc="1C090003" w:tentative="1">
      <w:start w:val="1"/>
      <w:numFmt w:val="bullet"/>
      <w:lvlText w:val="o"/>
      <w:lvlJc w:val="left"/>
      <w:pPr>
        <w:ind w:left="5902" w:hanging="360"/>
      </w:pPr>
      <w:rPr>
        <w:rFonts w:ascii="Courier New" w:hAnsi="Courier New" w:cs="Courier New" w:hint="default"/>
      </w:rPr>
    </w:lvl>
    <w:lvl w:ilvl="8" w:tplc="1C090005" w:tentative="1">
      <w:start w:val="1"/>
      <w:numFmt w:val="bullet"/>
      <w:lvlText w:val=""/>
      <w:lvlJc w:val="left"/>
      <w:pPr>
        <w:ind w:left="6622" w:hanging="360"/>
      </w:pPr>
      <w:rPr>
        <w:rFonts w:ascii="Wingdings" w:hAnsi="Wingdings" w:hint="default"/>
      </w:rPr>
    </w:lvl>
  </w:abstractNum>
  <w:abstractNum w:abstractNumId="13" w15:restartNumberingAfterBreak="0">
    <w:nsid w:val="32CD21C6"/>
    <w:multiLevelType w:val="hybridMultilevel"/>
    <w:tmpl w:val="24A08476"/>
    <w:lvl w:ilvl="0" w:tplc="5D5E7D8C">
      <w:start w:val="10"/>
      <w:numFmt w:val="decimal"/>
      <w:lvlText w:val="%1."/>
      <w:lvlJc w:val="left"/>
      <w:pPr>
        <w:ind w:left="720" w:hanging="360"/>
      </w:pPr>
      <w:rPr>
        <w:rFonts w:asciiTheme="minorHAnsi" w:hAnsiTheme="minorHAnsi" w:hint="default"/>
        <w:color w:val="C00000"/>
        <w:sz w:val="24"/>
        <w:szCs w:val="24"/>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4862639"/>
    <w:multiLevelType w:val="hybridMultilevel"/>
    <w:tmpl w:val="0E8EC376"/>
    <w:lvl w:ilvl="0" w:tplc="6A941C26">
      <w:start w:val="1"/>
      <w:numFmt w:val="lowerLetter"/>
      <w:lvlText w:val="%1)"/>
      <w:lvlJc w:val="left"/>
      <w:pPr>
        <w:ind w:left="1854"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A4D5490"/>
    <w:multiLevelType w:val="hybridMultilevel"/>
    <w:tmpl w:val="A936F70A"/>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92E2742"/>
    <w:multiLevelType w:val="hybridMultilevel"/>
    <w:tmpl w:val="D93A33A2"/>
    <w:lvl w:ilvl="0" w:tplc="63CE4BFE">
      <w:start w:val="4"/>
      <w:numFmt w:val="lowerRoman"/>
      <w:lvlText w:val="(%1)"/>
      <w:lvlJc w:val="left"/>
      <w:pPr>
        <w:ind w:left="28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F4E3B83"/>
    <w:multiLevelType w:val="hybridMultilevel"/>
    <w:tmpl w:val="869EC8DE"/>
    <w:lvl w:ilvl="0" w:tplc="7FE4BB10">
      <w:start w:val="1"/>
      <w:numFmt w:val="decimal"/>
      <w:lvlText w:val="%1."/>
      <w:lvlJc w:val="left"/>
      <w:pPr>
        <w:ind w:left="720" w:hanging="360"/>
      </w:pPr>
      <w:rPr>
        <w:rFonts w:asciiTheme="minorHAnsi" w:hAnsiTheme="minorHAnsi" w:hint="default"/>
        <w:color w:val="C00000"/>
        <w:sz w:val="24"/>
        <w:szCs w:val="24"/>
      </w:rPr>
    </w:lvl>
    <w:lvl w:ilvl="1" w:tplc="1C090017">
      <w:start w:val="1"/>
      <w:numFmt w:val="lowerLetter"/>
      <w:lvlText w:val="%2)"/>
      <w:lvlJc w:val="left"/>
      <w:pPr>
        <w:ind w:left="1440" w:hanging="360"/>
      </w:pPr>
      <w:rPr>
        <w:rFonts w:hint="default"/>
      </w:rPr>
    </w:lvl>
    <w:lvl w:ilvl="2" w:tplc="1C09001B">
      <w:start w:val="1"/>
      <w:numFmt w:val="lowerRoman"/>
      <w:lvlText w:val="%3."/>
      <w:lvlJc w:val="right"/>
      <w:pPr>
        <w:ind w:left="2160" w:hanging="180"/>
      </w:pPr>
    </w:lvl>
    <w:lvl w:ilvl="3" w:tplc="D876AFCC">
      <w:start w:val="1"/>
      <w:numFmt w:val="lowerRoman"/>
      <w:lvlText w:val="(%4)"/>
      <w:lvlJc w:val="left"/>
      <w:pPr>
        <w:ind w:left="3240" w:hanging="720"/>
      </w:pPr>
      <w:rPr>
        <w:rFonts w:hint="eastAsia"/>
      </w:rPr>
    </w:lvl>
    <w:lvl w:ilvl="4" w:tplc="849CD9FC">
      <w:start w:val="1"/>
      <w:numFmt w:val="bullet"/>
      <w:lvlText w:val="·"/>
      <w:lvlJc w:val="left"/>
      <w:pPr>
        <w:ind w:left="3600" w:hanging="360"/>
      </w:pPr>
      <w:rPr>
        <w:rFonts w:ascii="Cambria" w:eastAsiaTheme="minorEastAsia" w:hAnsi="Cambria" w:cs="Symbol"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17F3C0D"/>
    <w:multiLevelType w:val="multilevel"/>
    <w:tmpl w:val="BACA59C0"/>
    <w:lvl w:ilvl="0">
      <w:start w:val="4"/>
      <w:numFmt w:val="decimal"/>
      <w:lvlText w:val="%1"/>
      <w:lvlJc w:val="left"/>
      <w:pPr>
        <w:ind w:left="360" w:hanging="360"/>
      </w:pPr>
      <w:rPr>
        <w:rFonts w:hint="default"/>
        <w:u w:val="none"/>
      </w:rPr>
    </w:lvl>
    <w:lvl w:ilvl="1">
      <w:start w:val="5"/>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9" w15:restartNumberingAfterBreak="0">
    <w:nsid w:val="5B3C67F3"/>
    <w:multiLevelType w:val="hybridMultilevel"/>
    <w:tmpl w:val="CD9464C0"/>
    <w:lvl w:ilvl="0" w:tplc="3E12B36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0" w15:restartNumberingAfterBreak="0">
    <w:nsid w:val="5C974C96"/>
    <w:multiLevelType w:val="hybridMultilevel"/>
    <w:tmpl w:val="CE0C40D8"/>
    <w:lvl w:ilvl="0" w:tplc="08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1" w15:restartNumberingAfterBreak="0">
    <w:nsid w:val="5D2D4CFE"/>
    <w:multiLevelType w:val="hybridMultilevel"/>
    <w:tmpl w:val="D93A33A2"/>
    <w:lvl w:ilvl="0" w:tplc="63CE4BFE">
      <w:start w:val="4"/>
      <w:numFmt w:val="lowerRoman"/>
      <w:lvlText w:val="(%1)"/>
      <w:lvlJc w:val="left"/>
      <w:pPr>
        <w:ind w:left="28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F4F36DD"/>
    <w:multiLevelType w:val="hybridMultilevel"/>
    <w:tmpl w:val="4C8E4716"/>
    <w:lvl w:ilvl="0" w:tplc="E7869598">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211FAB"/>
    <w:multiLevelType w:val="hybridMultilevel"/>
    <w:tmpl w:val="CD9464C0"/>
    <w:lvl w:ilvl="0" w:tplc="3E12B36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66BC7CC8"/>
    <w:multiLevelType w:val="hybridMultilevel"/>
    <w:tmpl w:val="BA3E7C5A"/>
    <w:lvl w:ilvl="0" w:tplc="7F660D9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732793"/>
    <w:multiLevelType w:val="hybridMultilevel"/>
    <w:tmpl w:val="E80E1000"/>
    <w:lvl w:ilvl="0" w:tplc="1C090017">
      <w:start w:val="1"/>
      <w:numFmt w:val="lowerLetter"/>
      <w:lvlText w:val="%1)"/>
      <w:lvlJc w:val="left"/>
      <w:pPr>
        <w:tabs>
          <w:tab w:val="num" w:pos="1260"/>
        </w:tabs>
        <w:ind w:left="1260" w:hanging="360"/>
      </w:pPr>
    </w:lvl>
    <w:lvl w:ilvl="1" w:tplc="1C090005">
      <w:start w:val="1"/>
      <w:numFmt w:val="bullet"/>
      <w:lvlText w:val=""/>
      <w:lvlJc w:val="left"/>
      <w:pPr>
        <w:tabs>
          <w:tab w:val="num" w:pos="1980"/>
        </w:tabs>
        <w:ind w:left="1980" w:hanging="360"/>
      </w:pPr>
      <w:rPr>
        <w:rFonts w:ascii="Wingdings" w:hAnsi="Wingdings" w:hint="default"/>
      </w:rPr>
    </w:lvl>
    <w:lvl w:ilvl="2" w:tplc="1C09001B" w:tentative="1">
      <w:start w:val="1"/>
      <w:numFmt w:val="lowerRoman"/>
      <w:lvlText w:val="%3."/>
      <w:lvlJc w:val="right"/>
      <w:pPr>
        <w:tabs>
          <w:tab w:val="num" w:pos="2700"/>
        </w:tabs>
        <w:ind w:left="2700" w:hanging="180"/>
      </w:pPr>
    </w:lvl>
    <w:lvl w:ilvl="3" w:tplc="1C09000F" w:tentative="1">
      <w:start w:val="1"/>
      <w:numFmt w:val="decimal"/>
      <w:lvlText w:val="%4."/>
      <w:lvlJc w:val="left"/>
      <w:pPr>
        <w:tabs>
          <w:tab w:val="num" w:pos="3420"/>
        </w:tabs>
        <w:ind w:left="3420" w:hanging="360"/>
      </w:pPr>
    </w:lvl>
    <w:lvl w:ilvl="4" w:tplc="1C090019" w:tentative="1">
      <w:start w:val="1"/>
      <w:numFmt w:val="lowerLetter"/>
      <w:lvlText w:val="%5."/>
      <w:lvlJc w:val="left"/>
      <w:pPr>
        <w:tabs>
          <w:tab w:val="num" w:pos="4140"/>
        </w:tabs>
        <w:ind w:left="4140" w:hanging="360"/>
      </w:pPr>
    </w:lvl>
    <w:lvl w:ilvl="5" w:tplc="1C09001B" w:tentative="1">
      <w:start w:val="1"/>
      <w:numFmt w:val="lowerRoman"/>
      <w:lvlText w:val="%6."/>
      <w:lvlJc w:val="right"/>
      <w:pPr>
        <w:tabs>
          <w:tab w:val="num" w:pos="4860"/>
        </w:tabs>
        <w:ind w:left="4860" w:hanging="180"/>
      </w:pPr>
    </w:lvl>
    <w:lvl w:ilvl="6" w:tplc="1C09000F" w:tentative="1">
      <w:start w:val="1"/>
      <w:numFmt w:val="decimal"/>
      <w:lvlText w:val="%7."/>
      <w:lvlJc w:val="left"/>
      <w:pPr>
        <w:tabs>
          <w:tab w:val="num" w:pos="5580"/>
        </w:tabs>
        <w:ind w:left="5580" w:hanging="360"/>
      </w:pPr>
    </w:lvl>
    <w:lvl w:ilvl="7" w:tplc="1C090019" w:tentative="1">
      <w:start w:val="1"/>
      <w:numFmt w:val="lowerLetter"/>
      <w:lvlText w:val="%8."/>
      <w:lvlJc w:val="left"/>
      <w:pPr>
        <w:tabs>
          <w:tab w:val="num" w:pos="6300"/>
        </w:tabs>
        <w:ind w:left="6300" w:hanging="360"/>
      </w:pPr>
    </w:lvl>
    <w:lvl w:ilvl="8" w:tplc="1C09001B" w:tentative="1">
      <w:start w:val="1"/>
      <w:numFmt w:val="lowerRoman"/>
      <w:lvlText w:val="%9."/>
      <w:lvlJc w:val="right"/>
      <w:pPr>
        <w:tabs>
          <w:tab w:val="num" w:pos="7020"/>
        </w:tabs>
        <w:ind w:left="7020" w:hanging="180"/>
      </w:pPr>
    </w:lvl>
  </w:abstractNum>
  <w:abstractNum w:abstractNumId="26" w15:restartNumberingAfterBreak="0">
    <w:nsid w:val="7888440E"/>
    <w:multiLevelType w:val="hybridMultilevel"/>
    <w:tmpl w:val="24A08476"/>
    <w:lvl w:ilvl="0" w:tplc="5D5E7D8C">
      <w:start w:val="10"/>
      <w:numFmt w:val="decimal"/>
      <w:lvlText w:val="%1."/>
      <w:lvlJc w:val="left"/>
      <w:pPr>
        <w:ind w:left="720" w:hanging="360"/>
      </w:pPr>
      <w:rPr>
        <w:rFonts w:asciiTheme="minorHAnsi" w:hAnsiTheme="minorHAnsi" w:hint="default"/>
        <w:color w:val="C00000"/>
        <w:sz w:val="24"/>
        <w:szCs w:val="24"/>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F2D274F"/>
    <w:multiLevelType w:val="multilevel"/>
    <w:tmpl w:val="D1A2CFB6"/>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7"/>
  </w:num>
  <w:num w:numId="2">
    <w:abstractNumId w:val="2"/>
  </w:num>
  <w:num w:numId="3">
    <w:abstractNumId w:val="5"/>
  </w:num>
  <w:num w:numId="4">
    <w:abstractNumId w:val="19"/>
  </w:num>
  <w:num w:numId="5">
    <w:abstractNumId w:val="0"/>
  </w:num>
  <w:num w:numId="6">
    <w:abstractNumId w:val="18"/>
  </w:num>
  <w:num w:numId="7">
    <w:abstractNumId w:val="21"/>
  </w:num>
  <w:num w:numId="8">
    <w:abstractNumId w:val="27"/>
  </w:num>
  <w:num w:numId="9">
    <w:abstractNumId w:val="16"/>
  </w:num>
  <w:num w:numId="10">
    <w:abstractNumId w:val="23"/>
  </w:num>
  <w:num w:numId="11">
    <w:abstractNumId w:val="25"/>
  </w:num>
  <w:num w:numId="12">
    <w:abstractNumId w:val="6"/>
  </w:num>
  <w:num w:numId="13">
    <w:abstractNumId w:val="24"/>
  </w:num>
  <w:num w:numId="14">
    <w:abstractNumId w:val="4"/>
  </w:num>
  <w:num w:numId="15">
    <w:abstractNumId w:val="14"/>
  </w:num>
  <w:num w:numId="16">
    <w:abstractNumId w:val="17"/>
  </w:num>
  <w:num w:numId="17">
    <w:abstractNumId w:val="8"/>
  </w:num>
  <w:num w:numId="18">
    <w:abstractNumId w:val="12"/>
  </w:num>
  <w:num w:numId="19">
    <w:abstractNumId w:val="26"/>
  </w:num>
  <w:num w:numId="20">
    <w:abstractNumId w:val="13"/>
  </w:num>
  <w:num w:numId="21">
    <w:abstractNumId w:val="10"/>
  </w:num>
  <w:num w:numId="22">
    <w:abstractNumId w:val="15"/>
  </w:num>
  <w:num w:numId="23">
    <w:abstractNumId w:val="20"/>
  </w:num>
  <w:num w:numId="24">
    <w:abstractNumId w:val="9"/>
  </w:num>
  <w:num w:numId="25">
    <w:abstractNumId w:val="3"/>
  </w:num>
  <w:num w:numId="26">
    <w:abstractNumId w:val="11"/>
  </w:num>
  <w:num w:numId="27">
    <w:abstractNumId w:val="1"/>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FC2"/>
    <w:rsid w:val="000126A0"/>
    <w:rsid w:val="00042B6B"/>
    <w:rsid w:val="00073A48"/>
    <w:rsid w:val="00097F88"/>
    <w:rsid w:val="000A3BEC"/>
    <w:rsid w:val="000B478B"/>
    <w:rsid w:val="000B6491"/>
    <w:rsid w:val="000F1B80"/>
    <w:rsid w:val="000F4B56"/>
    <w:rsid w:val="00123D4D"/>
    <w:rsid w:val="0012483E"/>
    <w:rsid w:val="0013026C"/>
    <w:rsid w:val="001603C3"/>
    <w:rsid w:val="00190499"/>
    <w:rsid w:val="0019201D"/>
    <w:rsid w:val="001F6BC3"/>
    <w:rsid w:val="0024356E"/>
    <w:rsid w:val="002A1320"/>
    <w:rsid w:val="002A1B15"/>
    <w:rsid w:val="002F4F28"/>
    <w:rsid w:val="002F5CF3"/>
    <w:rsid w:val="003118BC"/>
    <w:rsid w:val="003343DF"/>
    <w:rsid w:val="00335234"/>
    <w:rsid w:val="003B0BD5"/>
    <w:rsid w:val="00422AD5"/>
    <w:rsid w:val="00423E64"/>
    <w:rsid w:val="00454316"/>
    <w:rsid w:val="00507F57"/>
    <w:rsid w:val="00532DE7"/>
    <w:rsid w:val="00561AFE"/>
    <w:rsid w:val="005A4134"/>
    <w:rsid w:val="0060200F"/>
    <w:rsid w:val="006715CA"/>
    <w:rsid w:val="00703D7C"/>
    <w:rsid w:val="007263FD"/>
    <w:rsid w:val="00742148"/>
    <w:rsid w:val="0075169F"/>
    <w:rsid w:val="00757B34"/>
    <w:rsid w:val="00774E67"/>
    <w:rsid w:val="007E4C2A"/>
    <w:rsid w:val="0080732E"/>
    <w:rsid w:val="00851B18"/>
    <w:rsid w:val="0085477E"/>
    <w:rsid w:val="00861F87"/>
    <w:rsid w:val="008A624F"/>
    <w:rsid w:val="00955104"/>
    <w:rsid w:val="0096500C"/>
    <w:rsid w:val="00985899"/>
    <w:rsid w:val="00A42465"/>
    <w:rsid w:val="00A5310C"/>
    <w:rsid w:val="00A717AE"/>
    <w:rsid w:val="00A74FC2"/>
    <w:rsid w:val="00A76BFC"/>
    <w:rsid w:val="00AC4EC7"/>
    <w:rsid w:val="00B3550C"/>
    <w:rsid w:val="00B41218"/>
    <w:rsid w:val="00B47E60"/>
    <w:rsid w:val="00B55E69"/>
    <w:rsid w:val="00BC1901"/>
    <w:rsid w:val="00BE34B8"/>
    <w:rsid w:val="00BE3F33"/>
    <w:rsid w:val="00BE6C60"/>
    <w:rsid w:val="00C141D6"/>
    <w:rsid w:val="00C61F35"/>
    <w:rsid w:val="00C76A73"/>
    <w:rsid w:val="00CA056E"/>
    <w:rsid w:val="00CA5A34"/>
    <w:rsid w:val="00CD5C20"/>
    <w:rsid w:val="00D05ED2"/>
    <w:rsid w:val="00D500F7"/>
    <w:rsid w:val="00DB7D19"/>
    <w:rsid w:val="00DD0221"/>
    <w:rsid w:val="00E20DAA"/>
    <w:rsid w:val="00E6032B"/>
    <w:rsid w:val="00E74B99"/>
    <w:rsid w:val="00E82EFD"/>
    <w:rsid w:val="00EC6711"/>
    <w:rsid w:val="00EE53FF"/>
    <w:rsid w:val="00EE6FDE"/>
    <w:rsid w:val="00F06A44"/>
    <w:rsid w:val="00F32D80"/>
    <w:rsid w:val="00F64AD1"/>
    <w:rsid w:val="00F73170"/>
    <w:rsid w:val="00F939A7"/>
    <w:rsid w:val="00F95958"/>
    <w:rsid w:val="00FB7B13"/>
    <w:rsid w:val="00FC1030"/>
    <w:rsid w:val="00FD1731"/>
    <w:rsid w:val="00FE1EB5"/>
    <w:rsid w:val="00FF6D91"/>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8877DA-F7B0-4700-8792-AA38DBC3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531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55E69"/>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qFormat/>
    <w:rsid w:val="00FE1EB5"/>
    <w:pPr>
      <w:keepNext/>
      <w:spacing w:before="240" w:after="60" w:line="240" w:lineRule="auto"/>
      <w:outlineLvl w:val="2"/>
    </w:pPr>
    <w:rPr>
      <w:rFonts w:ascii="Arial" w:eastAsia="Times New Roman"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26A0"/>
    <w:pPr>
      <w:ind w:left="720"/>
      <w:contextualSpacing/>
    </w:pPr>
  </w:style>
  <w:style w:type="table" w:styleId="TableGrid">
    <w:name w:val="Table Grid"/>
    <w:basedOn w:val="TableNormal"/>
    <w:rsid w:val="00FE1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FE1EB5"/>
    <w:rPr>
      <w:rFonts w:ascii="Arial" w:eastAsia="Times New Roman" w:hAnsi="Arial" w:cs="Times New Roman"/>
      <w:sz w:val="24"/>
      <w:szCs w:val="20"/>
    </w:rPr>
  </w:style>
  <w:style w:type="character" w:customStyle="1" w:styleId="Heading1Char">
    <w:name w:val="Heading 1 Char"/>
    <w:basedOn w:val="DefaultParagraphFont"/>
    <w:link w:val="Heading1"/>
    <w:uiPriority w:val="9"/>
    <w:rsid w:val="00A5310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650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00C"/>
    <w:rPr>
      <w:rFonts w:ascii="Tahoma" w:hAnsi="Tahoma" w:cs="Tahoma"/>
      <w:sz w:val="16"/>
      <w:szCs w:val="16"/>
    </w:rPr>
  </w:style>
  <w:style w:type="character" w:customStyle="1" w:styleId="Heading2Char">
    <w:name w:val="Heading 2 Char"/>
    <w:basedOn w:val="DefaultParagraphFont"/>
    <w:link w:val="Heading2"/>
    <w:rsid w:val="00B55E69"/>
    <w:rPr>
      <w:rFonts w:asciiTheme="majorHAnsi" w:eastAsiaTheme="majorEastAsia" w:hAnsiTheme="majorHAnsi" w:cstheme="majorBidi"/>
      <w:b/>
      <w:bCs/>
      <w:color w:val="4F81BD" w:themeColor="accent1"/>
      <w:sz w:val="26"/>
      <w:szCs w:val="26"/>
      <w:lang w:eastAsia="en-US"/>
    </w:rPr>
  </w:style>
  <w:style w:type="paragraph" w:styleId="Header">
    <w:name w:val="header"/>
    <w:basedOn w:val="Normal"/>
    <w:link w:val="HeaderChar"/>
    <w:uiPriority w:val="99"/>
    <w:unhideWhenUsed/>
    <w:rsid w:val="0012483E"/>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12483E"/>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12483E"/>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uiPriority w:val="99"/>
    <w:rsid w:val="0012483E"/>
    <w:rPr>
      <w:rFonts w:ascii="Times New Roman" w:eastAsia="Times New Roman" w:hAnsi="Times New Roman" w:cs="Times New Roman"/>
      <w:sz w:val="24"/>
      <w:szCs w:val="24"/>
      <w:lang w:val="x-none" w:eastAsia="x-none"/>
    </w:rPr>
  </w:style>
  <w:style w:type="paragraph" w:styleId="NoSpacing">
    <w:name w:val="No Spacing"/>
    <w:link w:val="NoSpacingChar"/>
    <w:uiPriority w:val="1"/>
    <w:qFormat/>
    <w:rsid w:val="0012483E"/>
    <w:pPr>
      <w:spacing w:after="0" w:line="240" w:lineRule="auto"/>
    </w:pPr>
    <w:rPr>
      <w:rFonts w:ascii="Calibri" w:eastAsia="Times New Roman" w:hAnsi="Calibri" w:cs="Times New Roman"/>
      <w:lang w:val="en-US" w:eastAsia="en-US"/>
    </w:rPr>
  </w:style>
  <w:style w:type="character" w:customStyle="1" w:styleId="NoSpacingChar">
    <w:name w:val="No Spacing Char"/>
    <w:link w:val="NoSpacing"/>
    <w:uiPriority w:val="1"/>
    <w:rsid w:val="0012483E"/>
    <w:rPr>
      <w:rFonts w:ascii="Calibri" w:eastAsia="Times New Roman" w:hAnsi="Calibri" w:cs="Times New Roman"/>
      <w:lang w:val="en-US" w:eastAsia="en-US"/>
    </w:rPr>
  </w:style>
  <w:style w:type="paragraph" w:styleId="BodyTextIndent">
    <w:name w:val="Body Text Indent"/>
    <w:basedOn w:val="Normal"/>
    <w:link w:val="BodyTextIndentChar"/>
    <w:uiPriority w:val="99"/>
    <w:unhideWhenUsed/>
    <w:rsid w:val="0012483E"/>
    <w:pPr>
      <w:spacing w:after="120"/>
      <w:ind w:left="283"/>
    </w:pPr>
    <w:rPr>
      <w:rFonts w:ascii="Calibri" w:eastAsia="Calibri" w:hAnsi="Calibri" w:cs="Times New Roman"/>
      <w:lang w:eastAsia="x-none"/>
    </w:rPr>
  </w:style>
  <w:style w:type="character" w:customStyle="1" w:styleId="BodyTextIndentChar">
    <w:name w:val="Body Text Indent Char"/>
    <w:basedOn w:val="DefaultParagraphFont"/>
    <w:link w:val="BodyTextIndent"/>
    <w:uiPriority w:val="99"/>
    <w:rsid w:val="0012483E"/>
    <w:rPr>
      <w:rFonts w:ascii="Calibri" w:eastAsia="Calibri" w:hAnsi="Calibri" w:cs="Times New Roman"/>
      <w:lang w:eastAsia="x-none"/>
    </w:rPr>
  </w:style>
  <w:style w:type="paragraph" w:styleId="BodyText2">
    <w:name w:val="Body Text 2"/>
    <w:basedOn w:val="Normal"/>
    <w:link w:val="BodyText2Char"/>
    <w:uiPriority w:val="99"/>
    <w:semiHidden/>
    <w:unhideWhenUsed/>
    <w:rsid w:val="0012483E"/>
    <w:pPr>
      <w:spacing w:after="120" w:line="480" w:lineRule="auto"/>
    </w:pPr>
    <w:rPr>
      <w:rFonts w:ascii="Calibri" w:eastAsia="Calibri" w:hAnsi="Calibri" w:cs="Times New Roman"/>
      <w:lang w:eastAsia="x-none"/>
    </w:rPr>
  </w:style>
  <w:style w:type="character" w:customStyle="1" w:styleId="BodyText2Char">
    <w:name w:val="Body Text 2 Char"/>
    <w:basedOn w:val="DefaultParagraphFont"/>
    <w:link w:val="BodyText2"/>
    <w:uiPriority w:val="99"/>
    <w:semiHidden/>
    <w:rsid w:val="0012483E"/>
    <w:rPr>
      <w:rFonts w:ascii="Calibri" w:eastAsia="Calibri" w:hAnsi="Calibri" w:cs="Times New Roman"/>
      <w:lang w:eastAsia="x-none"/>
    </w:rPr>
  </w:style>
  <w:style w:type="paragraph" w:styleId="BodyText">
    <w:name w:val="Body Text"/>
    <w:basedOn w:val="Normal"/>
    <w:link w:val="BodyTextChar"/>
    <w:uiPriority w:val="99"/>
    <w:unhideWhenUsed/>
    <w:rsid w:val="0012483E"/>
    <w:pPr>
      <w:spacing w:after="12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uiPriority w:val="99"/>
    <w:rsid w:val="0012483E"/>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uiPriority w:val="99"/>
    <w:unhideWhenUsed/>
    <w:rsid w:val="0012483E"/>
    <w:pPr>
      <w:spacing w:after="120" w:line="480" w:lineRule="auto"/>
      <w:ind w:left="283"/>
    </w:pPr>
    <w:rPr>
      <w:rFonts w:ascii="Calibri" w:eastAsia="Calibri" w:hAnsi="Calibri" w:cs="Times New Roman"/>
      <w:lang w:eastAsia="x-none"/>
    </w:rPr>
  </w:style>
  <w:style w:type="character" w:customStyle="1" w:styleId="BodyTextIndent2Char">
    <w:name w:val="Body Text Indent 2 Char"/>
    <w:basedOn w:val="DefaultParagraphFont"/>
    <w:link w:val="BodyTextIndent2"/>
    <w:uiPriority w:val="99"/>
    <w:rsid w:val="0012483E"/>
    <w:rPr>
      <w:rFonts w:ascii="Calibri" w:eastAsia="Calibri" w:hAnsi="Calibri" w:cs="Times New Roman"/>
      <w:lang w:eastAsia="x-none"/>
    </w:rPr>
  </w:style>
  <w:style w:type="numbering" w:customStyle="1" w:styleId="NoList1">
    <w:name w:val="No List1"/>
    <w:next w:val="NoList"/>
    <w:uiPriority w:val="99"/>
    <w:semiHidden/>
    <w:unhideWhenUsed/>
    <w:rsid w:val="00124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99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4606</Words>
  <Characters>26257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Gys</dc:creator>
  <cp:lastModifiedBy>Heinrich Mettler</cp:lastModifiedBy>
  <cp:revision>2</cp:revision>
  <cp:lastPrinted>2015-03-27T05:26:00Z</cp:lastPrinted>
  <dcterms:created xsi:type="dcterms:W3CDTF">2016-03-29T06:00:00Z</dcterms:created>
  <dcterms:modified xsi:type="dcterms:W3CDTF">2016-03-29T06:00:00Z</dcterms:modified>
</cp:coreProperties>
</file>